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11:24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11:23:34 | 状态: ok:ths, 4611ms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11:23:28 | 状态: ok:eastmoney, 2811ms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11:23:34 | 状态: ok:datacenter RPT_F10_FINANCE_MAINFINADATA, 5807ms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11:24:16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11:24:01 | 状态: ok:eastmoney-datacenter, 977ms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11:24:12 | 状态: error:HTTPSConnectionPool(host='push2his.eastmoney.com', port=443): Max retries exceed, 11278ms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03:24:00 | 状态: ok:sina_stock_news, 21783ms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量比1.8温和放量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PEG=3.85贵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3.85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11:22:59 | 状态: ok, 5094ms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11:22:59 | 状态: ok, 5094ms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11:23:09 | 状态: ok, 824ms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11:23:20 | 状态: ok, 997ms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13.75%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11:22:54 | 状态: ok, 1634ms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11:23:05 | 状态: fallback:接口返回0条(可能风控), 6113ms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11:23:08 | 状态: error:HTTPSConnectionPool(host='push2his.eastmoney.com', port=443), 3280ms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11:23:21 | 状态: ok, 3853ms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11:23:14 | 状态: ok, 2582ms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中报扭亏(2) | 中报增长(2) | 业绩增长(2) | 磷化工(2)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11:23:19 | 状态: ok, 4260ms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PEG=3.85贵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量比1.8温和放量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6113ms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3280ms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824ms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4260ms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3853ms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2811ms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5807ms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4611ms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21783ms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977ms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(3853ms,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6113ms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3280ms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83.5s ｜ 起 2026-09-08T11:22:52+08:00 → 止 2026-09-08T11:24:16+08:00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11:24,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11:24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