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11.54 元</w:t>
      </w:r>
      <w:r>
        <w:rPr>
          <w:rFonts w:ascii="Microsoft YaHei" w:hAnsi="Microsoft YaHei" w:eastAsia="Microsoft YaHei"/>
          <w:b w:val="0"/>
          <w:sz w:val="21"/>
        </w:rPr>
        <w:t xml:space="preserve"> (+0.44%) ｜ PE(TTM) 205.1 ｜ PB 2.79 ｜ 流通市值 100.4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11:55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11.19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12.69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14.42 / 17.31)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-13.8%)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205.1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11.19~11.54 支撑区低吸, 上轨 12.69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12.69 一带减仓; ② 跌破 9.95 转空离场; ③ 放量站稳 12.69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11:54:40 | 状态: ok:ths, 9472ms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11:54:37 | 状态: ok:eastmoney, 3282ms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11:54:40 | 状态: ok:datacenter RPT_F10_FINANCE_MAINFINADATA, 2139ms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11:55:18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11:55:06 | 状态: ok:eastmoney-datacenter, 843ms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11:55:14 | 状态: error:HTTPSConnectionPool(host='push2his.eastmoney.com', port=443): Max retries exceed, 7629ms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03:55:05 | 状态: ok:sina_stock_news, 16252ms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量比1.7温和放量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换手13.8%过高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9.57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11:53:55 | 状态: ok, 5343ms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11:53:55 | 状态: ok, 5343ms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11:54:07 | 状态: ok, 2943ms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11:54:28 | 状态: ok, 6072ms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11.54 元 (+0.44%)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13.85%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1.71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11:53:50 | 状态: ok, 1706ms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11:54:01 | 状态: fallback:接口返回0条(可能风控), 5294ms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11:54:04 | 状态: error:HTTPSConnectionPool(host='push2his.eastmoney.com', port=443), 3743ms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11:54:30 | 状态: ok, 4296ms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11:54:17 | 状态: ok, 4420ms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中报增长(3) | 海峡两岸(2) | 功能糖(2) | 玉米加工(2) | 草甘膦(2)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11:54:22 | 状态: ok, 4642ms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涨+0.4%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换手13.8%过高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量比1.7温和放量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12.69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14.42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11.19~11.54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1706ms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5343ms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5294ms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3743ms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2943ms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5549ms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4420ms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4642ms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6072ms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4296ms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3282ms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2139ms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9472ms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16252ms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843ms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(4296ms,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5294ms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3743ms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89.6s ｜ 起 2026-09-08T11:53:48+08:00 → 止 2026-09-08T11:55:18+08:00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11:55,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11:55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