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11.62 元</w:t>
      </w:r>
      <w:r>
        <w:rPr>
          <w:rFonts w:ascii="Microsoft YaHei" w:hAnsi="Microsoft YaHei" w:eastAsia="Microsoft YaHei"/>
          <w:b w:val="0"/>
          <w:sz w:val="21"/>
        </w:rPr>
        <w:t xml:space="preserve"> (+1.13%) ｜ PE(TTM) 206.5 ｜ PB 2.80 ｜ 流通市值 101.1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13:35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11.62)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12.78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14.52 / 17.43)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-14.4%)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206.5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11.27~11.62 支撑区低吸, 上轨 12.78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12.78 一带减仓; ② 跌破 9.95 转空离场; ③ 放量站稳 12.78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13:34:27 | 状态: ok:ths, 8742ms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13:34:25 | 状态: ok:eastmoney, 4830ms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13:34:27 | 状态: ok:datacenter RPT_F10_FINANCE_MAINFINADATA, 2151ms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13:35:03 | 状态: error:概念板块列表为空(东财 slist 返回 0 条, 可能风控), 无法做同业对比, 1509ms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13:34:53 | 状态: ok:eastmoney-datacenter, 759ms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13:34:59 | 状态: ok, 5130ms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05:34:53 | 状态: ok:sina_stock_news, 16692ms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涨+1.1%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PB=2.80正常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量比1.5温和放量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PEG=9.64贵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换手15.5%过高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PE&gt;207极高估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2.80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9.64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13:33:46 | 状态: ok, 5051ms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13:33:46 | 状态: ok, 5051ms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13:34:00 | 状态: ok, 2374ms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13:34:10 | 状态: ok, 853ms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11.62 元 (+1.13%)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15.50%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1.49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101.08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13:33:41 | 状态: ok, 1594ms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13:33:53 | 状态: fallback:接口返回0条(可能风控), 6921ms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当日无成交或分钟数据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13:33:58 | 状态: fallback:当日无成交或分钟数据, 4567ms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13:34:12 | 状态: ok, 8194ms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13:34:04 | 状态: ok, 2473ms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化肥(3) | 中报增长(3) | 存储芯片(3) | 精制磷酸(2) | 低空经济(2)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13:34:09 | 状态: ok, 4655ms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涨+1.1%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PB=2.80正常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PEG=9.64贵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换手15.5%过高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量比1.5温和放量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PE&gt;207极高估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12.78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14.52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11.27~11.62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1594ms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5051ms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6921ms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fallback:当日无成交或分钟数据, 4567ms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2374ms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1750ms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2473ms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4655ms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8194ms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4830ms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2151ms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8742ms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16692ms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759ms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(8194ms,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6921ms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fallback:当日无成交或分钟数据, 4567ms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83.5s ｜ 起 2026-09-08T13:33:40+08:00 → 止 2026-09-08T13:35:03+08:00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13:35,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13:35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