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15803D"/>
          <w:sz w:val="28"/>
        </w:rPr>
        <w:t>44/100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11.42 元</w:t>
      </w:r>
      <w:r>
        <w:rPr>
          <w:rFonts w:ascii="Microsoft YaHei" w:hAnsi="Microsoft YaHei" w:eastAsia="Microsoft YaHei"/>
          <w:b w:val="0"/>
          <w:sz w:val="21"/>
        </w:rPr>
        <w:t xml:space="preserve"> (-0.61%) ｜ PE(TTM) 203.0 ｜ PB 2.76 ｜ 流通市值 99.3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建议减仓至轻仓或清仓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14:13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11.08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11.42)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12.56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14.28 / 17.13)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-12.9%)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52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203.0 极高估, 泡沫风险 (估值分位 72.0%)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看空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44 分)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❌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空头形态: 不买入、不补仓、不抄底; 空仓者观望等底部放量企稳信号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反弹至压力位 12.56 一带分批减仓; ② 持仓者跌破 9.95 清仓; ③ 不抢反弹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反弹减仓/清仓纪律优先, 止损 9.95 上方不留幻想仓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清仓回避 / 极轻仓短线者当日进出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2026-09-08 14:13:18 | 状态: ok:ths, 5484ms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2026-09-08 14:13:16 | 状态: ok:eastmoney, 3057ms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2026-09-08 14:13:18 | 状态: ok:datacenter RPT_F10_FINANCE_MAINFINADATA, 2143ms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14:13:51 | 状态: error:概念板块列表为空(东财 slist 返回 0 条, 可能风控), 无法做同业对比, 1509ms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主力净流入(亿)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大单+超大单(亿)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1.708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1.708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-0.391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-0.391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2.277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2.277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-0.060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-0.060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-0.250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-0.250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5 日合计主力净额 </w:t>
      </w:r>
      <w:r>
        <w:rPr>
          <w:rFonts w:ascii="Microsoft YaHei" w:hAnsi="Microsoft YaHei" w:eastAsia="Microsoft YaHei"/>
          <w:b/>
          <w:sz w:val="21"/>
        </w:rPr>
        <w:t>3.284 亿</w:t>
      </w:r>
      <w:r>
        <w:rPr>
          <w:rFonts w:ascii="Microsoft YaHei" w:hAnsi="Microsoft YaHei" w:eastAsia="Microsoft YaHei"/>
          <w:b w:val="0"/>
          <w:sz w:val="21"/>
        </w:rPr>
        <w:t xml:space="preserve"> → 近5日主力</w:t>
      </w:r>
      <w:r>
        <w:rPr>
          <w:rFonts w:ascii="Microsoft YaHei" w:hAnsi="Microsoft YaHei" w:eastAsia="Microsoft YaHei"/>
          <w:b/>
          <w:sz w:val="21"/>
        </w:rPr>
        <w:t>净流入</w:t>
      </w:r>
      <w:r>
        <w:rPr>
          <w:rFonts w:ascii="Microsoft YaHei" w:hAnsi="Microsoft YaHei" w:eastAsia="Microsoft YaHei"/>
          <w:b w:val="0"/>
          <w:sz w:val="21"/>
        </w:rPr>
        <w:t>, 资金面偏多 (区间 2026-09-01 ~ 2026-09-07)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2026-09-07 1.43亿 vs 2026-08-27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+0.10%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14:13:44 | 状态: ok:eastmoney-datacenter, 624ms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14:13:47 | 状态: ok, 3327ms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08:01:00 东百集团：9月7日获融资买入1.07亿元，融资余额1.43亿元占流通市值比例1.43%，低于近一年10%分位水平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2026-09-08 06:13:43 | 状态: ok:sina_stock_news, 19445ms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PB=2.76正常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量比1.3温和放量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获利盘94.2%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跌-0.6%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PE=203.0极高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PE消化9.8年(慢)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PEG=9.47贵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PE历史分位72.0%(偏高)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换手16.4%过高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中盘股(99亿)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PE&gt;203极高估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203.0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2.76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9.47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9.8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14:12:38 | 状态: ok, 6417ms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81.6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14:12:38 | 状态: ok, 6417ms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204.22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72.0%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89.8%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14:12:52 | 状态: ok, 3726ms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94%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+1.2%（主成本区附近，主力没动）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现价高于平均成本 +12.0%（安全垫 12.0%）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94.22%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10.26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8.74 ~ 11.49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9.26 ~ 11.27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9.78%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2026-09-07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1,546.7%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14:13:05 | 状态: ok, 1173ms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11.42 元 (-0.61%)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16.41%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99.34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14:12:32 | 状态: ok, 1645ms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14:12:43 | 状态: fallback:接口返回0条(可能风控), 5350ms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当日无成交或分钟数据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14:12:48 | 状态: fallback:当日无成交或分钟数据, 4466ms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14:13:06 | 状态: ok, 6849ms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14:12:56 | 状态: ok, 1910ms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379.8 亿 ｜ 合计 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领涨行业: 粮食种植(7.84%)、房产租赁经纪(7.53%)、其他农产品加工(6.91%)、氮肥(6.65%)、学历教育(6.62%)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AI应用(5) | 中报增长(3) | 存储芯片(3) | 半年报增长(2) | 创新药(2) | 低空经济(2)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14:13:03 | 状态: ok, 7433ms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跌-0.6%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PE=203.0极高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PB=2.76正常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PE消化9.8年(慢)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PEG=9.47贵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PE历史分位72.0%(偏高)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换手16.4%过高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量比1.3温和放量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中盘股(99亿)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PE&gt;203极高估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获利盘94.2%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12.56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14.28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11.08~11.42 区间不破 9.95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9.95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1645ms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6417ms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5350ms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fallback:当日无成交或分钟数据, 4466ms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3726ms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2452ms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1910ms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7433ms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1173ms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6849ms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3057ms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2143ms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5484ms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19445ms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624ms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last_bar=2026-09-07 vs 最新交易日=2026-09-08 -&gt; warn (K线停在 2026-09-07, 最新交易日 2026-09-08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(6849ms,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5350ms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fallback:当日无成交或分钟数据, 4466ms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2026-09-07, 最新交易日 2026-09-08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80.6s ｜ 起 2026-09-08T14:12:30+08:00 → 止 2026-09-08T14:13:51+08:00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14:13, 市场随时变化, 请独立判断。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14:13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