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38/100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建议减仓至轻仓或清仓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10.03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-6.78%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87.2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178.3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8.32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10.03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-28.6%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+21.6%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9.33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ma60=8.96 / recent_low=7.16 / chip_peak=11.30 / boll_lower=8.00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ma250_or_ma120=9.76 / recent_high=12.20 / boll_upper=11.78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38 处于 35-45 区间，空头压力偏大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【操作】减仓至轻仓（≤10%），反弹遇压力位 11.03 不再加仓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【风险】若继续跌破止损 9.33 直接清仓，不抄底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11.03 / 中 12.54 / 远 15.04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9.73~10.03 元 (分批上限 10.03)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178.3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轻空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38 分, 状态 `mild_bear`)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35-44 + 趋势偏空, 5 状态机判定为轻空 (震荡偏空)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严控 — 仅在 9.73 附近且出现放量反转 K 线小仓 (1/4 仓) 抢短; 否则不动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已有持仓反弹至 11.03 一带分批减仓; 跌破 9.33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9.33 上方不留幻想仓, 反弹即减, 跌穿即走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| 周期 中线 3-6 个月 (轻空, 逢反减)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12:00:31 | 状态: ok:ths, 2888ms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12:00:29 | 状态: ok:eastmoney, 1885ms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12:00:31 | 状态: ok:datacenter RPT_F10_FINANCE_MAINFINADATA, 1863ms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12:01:11 | 状态: error:概念板块列表为空(东财 slist 返回 0 条, 可能风控), 无法做同业对比, 1501ms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主力净流入(亿)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大单+超大单(亿)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-0.269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-0.269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2026-09-09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-0.088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-0.088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-0.549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-0.549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5 日合计主力净额 </w:t>
      </w:r>
      <w:r>
        <w:rPr>
          <w:rFonts w:ascii="Microsoft YaHei" w:hAnsi="Microsoft YaHei" w:eastAsia="Microsoft YaHei"/>
          <w:b/>
          <w:sz w:val="21"/>
        </w:rPr>
        <w:t>-1.216 亿</w:t>
      </w:r>
      <w:r>
        <w:rPr>
          <w:rFonts w:ascii="Microsoft YaHei" w:hAnsi="Microsoft YaHei" w:eastAsia="Microsoft YaHei"/>
          <w:b w:val="0"/>
          <w:sz w:val="21"/>
        </w:rPr>
        <w:t xml:space="preserve"> → 近5日主力</w:t>
      </w:r>
      <w:r>
        <w:rPr>
          <w:rFonts w:ascii="Microsoft YaHei" w:hAnsi="Microsoft YaHei" w:eastAsia="Microsoft YaHei"/>
          <w:b/>
          <w:sz w:val="21"/>
        </w:rPr>
        <w:t>净流出</w:t>
      </w:r>
      <w:r>
        <w:rPr>
          <w:rFonts w:ascii="Microsoft YaHei" w:hAnsi="Microsoft YaHei" w:eastAsia="Microsoft YaHei"/>
          <w:b w:val="0"/>
          <w:sz w:val="21"/>
        </w:rPr>
        <w:t>, 资金面承压 (区间 2026-09-04 ~ 2026-09-10)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1.88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0.854 亿 / 偿还 0.700 亿 → 融资净 </w:t>
      </w:r>
      <w:r>
        <w:rPr>
          <w:rFonts w:ascii="Microsoft YaHei" w:hAnsi="Microsoft YaHei" w:eastAsia="Microsoft YaHei"/>
          <w:b/>
          <w:sz w:val="21"/>
        </w:rPr>
        <w:t>0.154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1.88亿 vs 2026-09-01 0.84亿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+0.15%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12:01:05 | 状态: ok:eastmoney-datacenter, 761ms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12:01:08 | 状态: ok, 2187ms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08:07:00 东百集团：9月10日获融资买入8536.20万元，融资余额连续4天增加，市场人气旺盛属强势市场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04:00:43 | 状态: ok:sina_stock_news, 8514ms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PB=2.42正常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获利盘43.1%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跌-6.8%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PE=178.3极高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PE消化9.2年(慢)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PEG=8.32贵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PE历史分位68.9%(偏高)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中盘股(87亿)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PE&gt;178极高估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178.3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2.42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8.32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9.2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11:59:50 | 状态: ok, 2945ms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11:59:50 | 状态: ok, 2945ms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191.24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68.9%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85.7%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12:00:09 | 状态: ok, 2754ms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43% 持仓赚钱，正常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现价距筹码峰 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+0.8%（成本博弈区）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43.09%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8.92 ~ 11.73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9.55 ~ 11.49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13.61%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9.19%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2026-09-10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1,564.7%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12:00:16 | 状态: ok, 1300ms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10.03 元 (-6.78%)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8.98%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87.25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11:59:47 | 状态: ok, 828ms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12:00:04 | 状态: error:接口异常, 13981ms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12:00:06 | 状态: error:HTTPSConnectionPool(host='push2his.eastmoney.com', port=443), 2178ms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12:00:12 | 状态: ok, 2974ms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AI应用(2) | 海上风电(2) | 光伏玻璃(2) | A0车型(1) | 复工复产(1) | 海外布局(1)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12:00:15 | 状态: ok, 3001ms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跌-6.8%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PE=178.3极高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PB=2.42正常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PE消化9.2年(慢)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PEG=8.32贵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PE历史分位68.9%(偏高)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中盘股(87亿)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PE&gt;178极高估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获利盘43.1%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11.03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12.54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9.73~10.03 区间不破 9.33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9.33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828ms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2945ms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error:接口异常, 13981ms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2178ms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2754ms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575ms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2974ms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3001ms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1300ms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5605ms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1885ms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1863ms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2888ms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8514ms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2626ms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9368ms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524ms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1848ms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7778ms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761ms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last_bar=2026-09-10 vs 最新交易日=2026-09-11 -&gt; warn (K线停在 2026-09-10, 最新交易日 2026-09-11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SSL直连失败且 verify=False 重试亦失败: 申万表加载失败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error:接口异常, 13981ms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2178ms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5605ms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2026-09-10, 最新交易日 2026-09-11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85.2s ｜ 起 2026-09-11T11:59:46+08:00 → 止 2026-09-11T12:01:11+08:00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12:01,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12:01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