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2026-09-22（周二）16:52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—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7/7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9.82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-1.50%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174.5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2.37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8.15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评分构成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/>
          <w:color w:val="57534E"/>
          <w:sz w:val="19"/>
        </w:rPr>
        <w:t>技术 15.0/28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资金 10.0/25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估值 11.0/29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情绪 4.0/8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风险 4.0/10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= </w:t>
      </w:r>
      <w:r>
        <w:rPr>
          <w:rFonts w:ascii="Microsoft YaHei" w:hAnsi="Microsoft YaHei" w:eastAsia="Microsoft YaHei"/>
          <w:b/>
          <w:color w:val="57534E"/>
          <w:sz w:val="19"/>
        </w:rPr>
        <w:t>综合 44.0/100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占比提示: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技术 54%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资金 40% ｜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估值 38%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情绪 50%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风险 40%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远/近期位分层）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📐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命名约定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(P0-A 规范整改 v1.0 + 批次 E 痛 1, 2026-09-14): 操作位 = 3 候选(ma60/chip_peak/boll) 距现价 5-25% 范围最近; 参考位 = 60 日最低/最高 (远端极值, 不筛选, 仅供参考, 不是操作位)。完整规则: `analysis/references/three-levels-rules.md`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三价位无法生成 (行情/筹码数据缺失), 请勿据此操作。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38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174.5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44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9.53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10.80 一带分批减仓; 跌破 9.13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9.13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中线 3-6 个月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📎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完整报告</w:t>
      </w:r>
      <w:r>
        <w:rPr>
          <w:rFonts w:ascii="Microsoft YaHei" w:hAnsi="Microsoft YaHei" w:eastAsia="Microsoft YaHei"/>
          <w:b w:val="0"/>
          <w:sz w:val="21"/>
        </w:rPr>
        <w:t>: 研报 / 公告 / 财务 / 同业 / 资金面 / 新闻 / 筹码 / 估值历史 / 龙虎榜 / 因子明细 / 数据链路 → 看 `*-v3-*.html` 报告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2026-09-22 16:52,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2026-09-22 16:52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