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48/100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11.76 元</w:t>
      </w:r>
      <w:r>
        <w:rPr>
          <w:rFonts w:ascii="Microsoft YaHei" w:hAnsi="Microsoft YaHei" w:eastAsia="Microsoft YaHei"/>
          <w:b w:val="0"/>
          <w:sz w:val="21"/>
        </w:rPr>
        <w:t xml:space="preserve"> (+2.35%) ｜ PE(TTM) 209.0 ｜ PB 2.84 ｜ 流通市值 102.3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13:20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11.76)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12.94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14.70 / 17.64)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10.94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209.0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48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11.41~11.76 支撑区低吸, 上轨 12.94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12.94 一带减仓; ② 跌破 10.94 转空离场; ③ 放量站稳 12.94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10.94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13:20:09 | 状态: ok:ths, 4945ms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13:20:07 | 状态: ok:eastmoney, 6268ms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13:20:09 | 状态: ok:datacenter RPT_F10_FINANCE_MAINFINADATA, 2117ms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13:20:49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13:20:35 | 状态: ok:eastmoney-datacenter, 497ms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13:20:45 | 状态: ok, 10145ms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05:20:34 | 状态: ok:sina_stock_news, 20507ms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涨+2.4%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PB=2.84正常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量比1.6温和放量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PE=209.0极高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PE消化10.0年(慢)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PEG=9.75贵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换手15.1%过高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中盘股(102亿)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PE&gt;209极高估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209.0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2.84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9.75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10.0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13:19:29 | 状态: ok, 7221ms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84.0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13:19:29 | 状态: ok, 7221ms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13:19:40 | 状态: ok, 973ms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13:19:55 | 状态: ok, 1333ms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11.76 元 (+2.35%)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15.07%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1.59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102.29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13:19:22 | 状态: ok, 2115ms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13:19:36 | 状态: fallback:接口返回0条(可能风控), 6714ms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13:19:39 | 状态: error:HTTPSConnectionPool(host='push2his.eastmoney.com', port=443), 3550ms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13:19:56 | 状态: ok, 4465ms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13:19:48 | 状态: ok, 2690ms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化肥(3) | 中报增长(3) | 存储芯片(3) | 精密结构件(2) | 精制磷酸(2)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13:19:53 | 状态: ok, 5853ms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涨+2.4%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PE=209.0极高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PB=2.84正常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PE消化10.0年(慢)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PEG=9.75贵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换手15.1%过高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量比1.6温和放量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中盘股(102亿)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PE&gt;209极高估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12.94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14.70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11.41~11.76 区间不破 10.94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10.94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7221ms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6714ms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3550ms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4547ms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6268ms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4945ms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20507ms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497ms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(4465ms,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6714ms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3550ms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89.0s ｜ 起 2026-09-08T13:19:20+08:00 → 止 2026-09-08T13:20:49+08:00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13:20,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13:20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