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11.37 元</w:t>
      </w:r>
      <w:r>
        <w:rPr>
          <w:rFonts w:ascii="Microsoft YaHei" w:hAnsi="Microsoft YaHei" w:eastAsia="Microsoft YaHei"/>
          <w:b w:val="0"/>
          <w:sz w:val="21"/>
        </w:rPr>
        <w:t xml:space="preserve"> (-1.30%) ｜ PE(TTM) 202.1 ｜ PB 2.74 ｜ 流通市值 98.9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2026-09-09 16:52 (报告日期 2026-09-09)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11.03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12.51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14.21 / 17.05)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-10.2%)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51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202.1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44 处于 35-45 区间，空头压力偏大 ｜ 【操作】减仓至轻仓（≤10%），反弹遇压力位 12.51 不再加仓 ｜ 【风险】若继续跌破止损 10.21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12.51 一带分批减仓; ② 持仓者跌破 10.21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10.21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2026-09-09 16:52:09 | 状态: ok:ths, 7324ms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2026-09-09 16:52:06 | 状态: ok:eastmoney, 2780ms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2026-09-09 16:52:09 | 状态: ok:datacenter RPT_F10_FINANCE_MAINFINADATA, 2850ms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16:52:46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2026-09-08): 融资余额 </w:t>
      </w:r>
      <w:r>
        <w:rPr>
          <w:rFonts w:ascii="Microsoft YaHei" w:hAnsi="Microsoft YaHei" w:eastAsia="Microsoft YaHei"/>
          <w:b/>
          <w:sz w:val="21"/>
        </w:rPr>
        <w:t>1.44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1.060 亿 / 偿还 1.045 亿 → 融资净 </w:t>
      </w:r>
      <w:r>
        <w:rPr>
          <w:rFonts w:ascii="Microsoft YaHei" w:hAnsi="Microsoft YaHei" w:eastAsia="Microsoft YaHei"/>
          <w:b/>
          <w:sz w:val="21"/>
        </w:rPr>
        <w:t>0.016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2026-09-08 1.44亿 vs 2026-08-28 0.86亿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16:52:35 | 状态: ok:eastmoney-datacenter, 1872ms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16:52:43 | 状态: error:HTTPSConnectionPool(host='push2his.eastmoney.com', port=443): Max retries exceed, 7654ms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08:06:00 东百集团：9月8日获融资买入1.06亿元，融资余额1.44亿元占流通市值比例1.44%，低于近一年10%分位水平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2026-09-09 08:52:33 | 状态: ok:sina_stock_news, 17345ms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PB=2.74正常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跌-1.3%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PE=202.1极高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PE消化9.8年(慢)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PEG=9.43贵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换手14.5%过高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振幅7.2%较大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中盘股(99亿)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202.1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2.74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9.43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9.8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16:51:31 | 状态: ok, 5718ms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16:51:31 | 状态: ok, 5718ms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2023-08-02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16:51:43 | 状态: ok, 1628ms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2026-09-08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1,537.9%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16:51:55 | 状态: ok, 1161ms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11.37 元 (-1.30%)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12.67 / 10.37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7.20%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14.53%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98.90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16:51:25 | 状态: ok, 2006ms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16:51:36 | 状态: fallback:接口返回0条(可能风控), 5402ms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16:51:41 | 状态: error:HTTPSConnectionPool(host='push2his.eastmoney.com', port=443), 4994ms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16:51:57 | 状态: ok, 6081ms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16:51:47 | 状态: ok, 2192ms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业绩增长(8) | AI算力(2) | 中报增长(2) | 国资控股(2) | 半年报增长(2) | 商业零售(2)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16:51:54 | 状态: ok, 6243ms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跌-1.3%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PE=202.1极高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PB=2.74正常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PE消化9.8年(慢)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PEG=9.43贵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换手14.5%过高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振幅7.2%较大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中盘股(99亿)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12.51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14.21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11.03~11.37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5718ms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5402ms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4994ms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2467ms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6081ms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2780ms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2850ms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7324ms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17345ms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1872ms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最新交易日=2026-09-09 -&gt; warn (K线停在 2026-09-08, 最新交易日 2026-09-09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(6081ms,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5402ms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4994ms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2026-09-08, 最新交易日 2026-09-09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83.3s ｜ 起 2026-09-09T16:51:23+08:00 → 止 2026-09-09T16:52:46+08:00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2026-09-09 16:52,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2026-09-09 16:52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