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10.78 元</w:t>
      </w:r>
      <w:r>
        <w:rPr>
          <w:rFonts w:ascii="Microsoft YaHei" w:hAnsi="Microsoft YaHei" w:eastAsia="Microsoft YaHei"/>
          <w:b w:val="0"/>
          <w:sz w:val="21"/>
        </w:rPr>
        <w:t xml:space="preserve"> (-5.19%) ｜ PE(TTM) 191.6 ｜ PB 2.60 ｜ 流通市值 93.8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2026-09-10 10:19 (报告日期 2026-09-10)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ma60=8.93 / recent_low=7.16 / chip_peak=11.35 / boll_lower=8.01（取最低且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ma250_or_ma120=9.77 / recent_high=12.20 / boll_upper=11.75（取最高且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10.46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10.78)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11.86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13.47 / 16.17)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191.6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44 处于 35-45 区间，空头压力偏大 ｜ 【操作】减仓至轻仓（≤10%），反弹遇压力位 11.86 不再加仓 ｜ 【风险】若继续跌破止损 10.03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11.86 一带分批减仓; ② 持仓者跌破 10.03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10.03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10:18:46 | 状态: ok:ths, 5156ms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10:18:44 | 状态: ok:eastmoney, 2678ms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10:18:46 | 状态: ok:datacenter RPT_F10_FINANCE_MAINFINADATA, 2707ms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10:19:23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-0.269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-0.269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-0.088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-0.088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1.610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2026-09-03 ~ 2026-09-09)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10:19:15 | 状态: ok:eastmoney-datacenter, 10302ms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10:19:19 | 状态: ok, 3933ms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02:19:05 | 状态: ok:sina_stock_news, 13805ms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换手5.7%活跃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量比1.6温和放量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跌-5.2%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PE=191.6极高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振幅5.9%较大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191.6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10:18:01 | 状态: ok, 6669ms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10:18:01 | 状态: ok, 6669ms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10:18:12 | 状态: ok, 2116ms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10:18:34 | 状态: ok, 903ms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10.78 元 (-5.19%)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5.89%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93.77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10:17:55 | 状态: ok, 1651ms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10:18:07 | 状态: fallback:接口返回0条(可能风控), 5444ms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10:18:10 | 状态: error:HTTPSConnectionPool(host='push2his.eastmoney.com', port=443), 3331ms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10:18:35 | 状态: ok, 5650ms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10:18:25 | 状态: ok, 2034ms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央企(2) | 覆铜板(1) | 扩产(1) | 电力(1) | 新能源(1)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10:18:33 | 状态: ok, 7527ms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跌-5.2%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PE=191.6极高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换手5.7%活跃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量比1.6温和放量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振幅5.9%较大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11.86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13.47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10.46~10.78 区间不破 10.03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6669ms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5444ms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2116ms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11199ms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903ms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2678ms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2707ms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5156ms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13805ms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10302ms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(5650ms,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5444ms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3331ms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90.3s ｜ 起 2026-09-10T10:17:53+08:00 → 止 2026-09-10T10:19:23+08:00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10:19,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10:19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