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11.9 减仓、下沿 10.5 低吸、严格止损 10.06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11.90 / 中 13.53 / 远 16.23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10.50~10.82 元 (分批上限 10.82)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192.3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11.9 减仓、下沿 10.5 低吸、严格止损 10.06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10.50~10.82 支撑区低吸, 上轨 11.90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11.90 一带减仓; ② 跌破 10.06 转空离场; ③ 放量站稳 11.90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10.06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11:41:05 | 状态: ok:ths, 5762ms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11:41:02 | 状态: ok:eastmoney, 1689ms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11:41:05 | 状态: ok:datacenter RPT_F10_FINANCE_MAINFINADATA, 2615ms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11:42:15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11:42:03 | 状态: ok:eastmoney-datacenter, 742ms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11:42:10 | 状态: error:HTTPSConnectionPool(host='push2his.eastmoney.com', port=443): Max retries exceed, 7710ms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03:41:25 | 状态: ok:sina_stock_news, 14567ms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8.97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11:40:23 | 状态: ok, 5748ms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11:40:23 | 状态: ok, 5748ms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11:40:41 | 状态: ok, 3754ms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11:40:54 | 状态: ok, 1188ms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10.82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11:40:17 | 状态: ok, 1939ms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11:40:33 | 状态: error:接口异常, 10012ms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11:40:38 | 状态: error:HTTPSConnectionPool(host='push2his.eastmoney.com', port=443), 4399ms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11:40:56 | 状态: ok, 4720ms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11:40:45 | 状态: ok, 2517ms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11:40:53 | 状态: ok, 7864ms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13.53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10.50~10.82 区间不破 10.06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0.00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0.00 元（分红率低，回报股东能力弱）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4399ms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3754ms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4720ms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1689ms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2615ms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5762ms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14567ms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24306ms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742ms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(4720ms,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4399ms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119.0s ｜ 起 2026-09-10T11:40:16+08:00 → 止 2026-09-10T11:42:15+08:00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11:42,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0.00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0.00 元（分红率低，回报股东能力弱）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0.00亿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11:42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