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45/100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10.82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-4.84%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94.1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192.3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2.61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8.97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4 候选取最近）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10.82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2026-09-10)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-33.8%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候选取最低（≤1.05×现价）·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+12.8%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候选取最高（≥0.95×现价）·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10.06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 状态机锁定 · 跌破必走（区间下沿 -7.0%）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ma60=8.93 / recent_low=7.16 / chip_peak=11.35 / boll_lower=8.01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ma250_or_ma120=9.77 / recent_high=12.20 / boll_upper=11.75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【结论】综合评分 45 处于 45-55 区间，多空平衡、震荡格局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【操作】区间操作 — 上沿 11.9 减仓、下沿 10.5 低吸、严格止损 10.06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【风险】单边突破区间则按突破方向顺势操作，不预判方向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11.90 / 中 13.53 / 远 16.23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10.50~10.82 元 (分批上限 10.82)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50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192.3 极高估, 泡沫风险 (估值分位 71.6%)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45 分, 状态 `neutral`)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操作口诀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【结论】综合评分 45 处于 45-55 区间，多空平衡、震荡格局 ｜ 【操作】区间操作 — 上沿 11.9 减仓、下沿 10.5 低吸、严格止损 10.06 ｜ 【风险】单边突破区间则按突破方向顺势操作，不预判方向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10.50~10.82 支撑区低吸, 上轨 11.90 附近不过量追高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11.90 一带减仓; ② 跌破 10.06 转空离场; ③ 放量站稳 11.90 上沿再按看多纪律执行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10.06 为区间底沿, 收盘破位即走, 不猜底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2026-09-10 11:56:52 | 状态: ok:ths, 5570ms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7 条 (展示 7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7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2026-09-10 11:56:50 | 状态: ok:eastmoney, 1642ms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2026-09-10 11:56:52 | 状态: ok:datacenter RPT_F10_FINANCE_MAINFINADATA, 2105ms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11:58:14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2026-09-09): 融资余额 </w:t>
      </w:r>
      <w:r>
        <w:rPr>
          <w:rFonts w:ascii="Microsoft YaHei" w:hAnsi="Microsoft YaHei" w:eastAsia="Microsoft YaHei"/>
          <w:b/>
          <w:sz w:val="21"/>
        </w:rPr>
        <w:t>1.72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1.045 亿 / 偿还 0.763 亿 → 融资净 </w:t>
      </w:r>
      <w:r>
        <w:rPr>
          <w:rFonts w:ascii="Microsoft YaHei" w:hAnsi="Microsoft YaHei" w:eastAsia="Microsoft YaHei"/>
          <w:b/>
          <w:sz w:val="21"/>
        </w:rPr>
        <w:t>0.281 亿</w:t>
      </w:r>
      <w:r>
        <w:rPr>
          <w:rFonts w:ascii="Microsoft YaHei" w:hAnsi="Microsoft YaHei" w:eastAsia="Microsoft YaHei"/>
          <w:b w:val="0"/>
          <w:sz w:val="21"/>
        </w:rPr>
        <w:t xml:space="preserve"> (杠杆资金在加仓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2026-09-09 1.72亿 vs 2026-08-31 0.85亿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+0.28%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11:58:03 | 状态: ok:eastmoney-datacenter, 891ms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11:58:10 | 状态: error:HTTPSConnectionPool(host='push2his.eastmoney.com', port=443): Max retries exceed, 6861ms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08:07:00 东百集团：9月9日获融资买入1.04亿元，融资余额连续3天增加，市场人气旺盛属强势市场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2026-09-10 03:57:14 | 状态: ok:sina_stock_news, 16017ms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PB=2.61正常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换手7.7%活跃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北向资金(全市场)净流入370.5亿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获利盘73.4%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90%集中度14.0%(极集中)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跌-4.8%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PE=192.3极高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PE消化9.6年(慢)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PEG=8.97贵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PE历史分位71.6%(偏高)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振幅6.3%较大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中盘股(94亿)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PE&gt;192极高估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192.3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2.61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8.97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9.6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11:56:19 | 状态: ok, 5893ms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77.3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11:56:19 | 状态: ok, 5893ms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202.09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71.6%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71.6%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87.9%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2023-08-03 ~ 2026-09-09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11:56:29 | 状态: ok, 1228ms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73%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+0.1%（主成本区附近，主力没动）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14.0%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+6.9%（成本博弈区）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73.41%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8.87 ~ 11.76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9.47 ~ 11.52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14.00%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9.77%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11.35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2025-12-15 ~ 2026-09-09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1,552.4%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11:56:42 | 状态: ok, 663ms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10.82 元 (-4.84%)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12.51 / 10.23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6.33%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7.70%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94.12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11:56:13 | 状态: ok, 1942ms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11:56:25 | 状态: fallback:接口返回0条(可能风控), 5537ms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11:56:28 | 状态: error:HTTPSConnectionPool(host='push2his.eastmoney.com', port=443), 3363ms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11:56:44 | 状态: ok, 4334ms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11:56:36 | 状态: ok, 2105ms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+379.8 亿 ｜ 合计 +370.5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业绩增长(7) | 商业航天(2) | 央企(2) | 庭外重组推进(1) | 海外煤炭(1) | 生物柴油(1)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11:56:42 | 状态: ok, 5801ms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45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跌-4.8%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PE=192.3极高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PB=2.61正常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PE消化9.6年(慢)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PEG=8.97贵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PE历史分位71.6%(偏高)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换手7.7%活跃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振幅6.3%较大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北向资金(全市场)净流入370.5亿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中盘股(94亿)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PE&gt;192极高估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获利盘73.4%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90%集中度14.0%(极集中)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11.90 (+10%)</w:t>
      </w:r>
      <w:r>
        <w:rPr>
          <w:rFonts w:ascii="Microsoft YaHei" w:hAnsi="Microsoft YaHei" w:eastAsia="Microsoft YaHei"/>
          <w:b w:val="0"/>
          <w:sz w:val="21"/>
        </w:rPr>
        <w:t>：卖 1/2 仓锁利, 留 1/2 看 13.53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10.50~10.82 区间不破 10.06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10.06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5.17亿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综合Ⅱ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1.81亿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1.11亿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-10.043196678161621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深华发Ａ 000020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0.23亿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-9.969969749450684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66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20.76亿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20.76亿，主力大幅介入，市场情绪偏多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湖南黄金 002155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4.39亿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3.29亿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精华制药 002349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亚星锚链 601890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洛轴股份 301699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中粮科技 000930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黑猫股份 002068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海欣食品 002702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中水渔业 000798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神农种业 300189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金健米业 600127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丰茂转债 123283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上市首日可转债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深华发A 000020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国机精工 002046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1942ms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5893ms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5537ms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3363ms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1228ms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4553ms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2105ms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5801ms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663ms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4334ms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1642ms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2105ms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5570ms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16017ms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4616ms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25602ms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2396ms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5914ms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10345ms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891ms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last_bar=2026-09-09 vs 最新交易日=2026-09-10 -&gt; warn (K线停在 2026-09-09, 最新交易日 2026-09-10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(4334ms,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5537ms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3363ms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2026-09-09, 最新交易日 2026-09-10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122.6s ｜ 起 2026-09-10T11:56:11+08:00 → 止 2026-09-10T11:58:14+08:00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2026-09-10 11:58,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旅游及景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5.17亿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综合Ⅱ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3.71亿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云煤能源 600792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1.19亿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焦炭Ⅱ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093351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国创高新 002377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1.81亿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炼化及贸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1.77亿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种植业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渝三峡Ａ 000565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094139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1.11亿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化学制品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094136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1.11亿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长城电工 600192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093045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电网设备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深中华A 000017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-10.043196678161621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1.31亿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深华发Ａ 000020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0.23亿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捷荣技术 002855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-9.969969749450684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66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20.76亿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20.76亿，主力大幅介入，市场情绪偏多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湖南黄金 002155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4.39亿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3.29亿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精华制药 002349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亚星锚链 601890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2.12亿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洛轴股份 301699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无价格涨跌幅限制的证券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中粮科技 000930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1.40亿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黑猫股份 002068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海欣食品 002702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中水渔业 000798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0.54亿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神农种业 300189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0.48亿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金健米业 600127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丰茂转债 123283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上市首日可转债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桂林旅游 000978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深华发A 000020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国机精工 002046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2026-09-10 11:58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