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38/100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10.03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-6.78%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178.3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8.32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-28.6%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9.33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38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11.03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9.33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11.03 / 中 12.54 / 远 15.04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9.73~10.03 元 (分批上限 10.03)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178.3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38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9.73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11.03 一带分批减仓; 跌破 9.33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9.33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中线 3-6 个月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12:12:04 | 状态: ok:ths, 1895ms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12:12:04 | 状态: ok:eastmoney, 992ms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12:12:04 | 状态: ok:datacenter RPT_F10_FINANCE_MAINFINADATA, 752ms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12:12:52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12:12:44 | 状态: ok:eastmoney-datacenter, 613ms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12:12:48 | 状态: error:HTTPSConnectionPool(host='push2his.eastmoney.com', port=443): Max retries exceed, 4271ms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04:12:14 | 状态: ok:sina_stock_news, 7286ms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PB=2.42正常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跌-6.8%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PE=178.3极高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PEG=8.32贵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PE历史分位68.9%(偏高)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中盘股(87亿)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PE&gt;178极高估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178.3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2.42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8.32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12:11:01 | 状态: ok, 2411ms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12:11:01 | 状态: ok, 2411ms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68.9%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12:11:13 | 状态: ok, 2160ms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12:11:20 | 状态: ok, 627ms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10.03 元 (-6.78%)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8.98%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12:10:59 | 状态: ok, 603ms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12:11:08 | 状态: fallback:接口返回0条(可能风控), 7493ms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当日无成交或分钟数据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12:11:11 | 状态: fallback:当日无成交或分钟数据, 2675ms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12:11:17 | 状态: ok, 2202ms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AI应用(2) | 海上风电(2) | 光伏玻璃(2) | A0车型(1) | 复工复产(1) | 海外布局(1)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12:11:19 | 状态: ok, 2579ms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跌-6.8%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PE=178.3极高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PB=2.42正常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PEG=8.32贵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PE历史分位68.9%(偏高)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中盘股(87亿)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PE&gt;178极高估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11.03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12.54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9.73~10.03 区间不破 9.33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9.33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2411ms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7493ms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fallback:当日无成交或分钟数据, 2675ms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2160ms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1382ms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2202ms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2579ms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5548ms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992ms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752ms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1895ms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7286ms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1638ms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8450ms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1336ms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11622ms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6919ms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613ms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7493ms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fallback:当日无成交或分钟数据, 2675ms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5548ms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114.1s ｜ 起 2026-09-11T12:10:58+08:00 → 止 2026-09-11T12:12:52+08:00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12:12,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12:12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