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📅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分析时点</w:t>
      </w:r>
      <w:r>
        <w:rPr>
          <w:rFonts w:ascii="Microsoft YaHei" w:hAnsi="Microsoft YaHei" w:eastAsia="Microsoft YaHei"/>
          <w:b w:val="0"/>
          <w:color w:val="57534E"/>
          <w:sz w:val="19"/>
        </w:rPr>
        <w:t>: 报告生成 2026-09-22（周二）15:57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🕯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K线最后交易日</w:t>
      </w:r>
      <w:r>
        <w:rPr>
          <w:rFonts w:ascii="Microsoft YaHei" w:hAnsi="Microsoft YaHei" w:eastAsia="Microsoft YaHei"/>
          <w:b w:val="0"/>
          <w:color w:val="57534E"/>
          <w:sz w:val="19"/>
        </w:rPr>
        <w:t>: 2026-09-21 (现价取腾讯实时, 已是最新)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📡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数据源健康度</w:t>
      </w:r>
      <w:r>
        <w:rPr>
          <w:rFonts w:ascii="Microsoft YaHei" w:hAnsi="Microsoft YaHei" w:eastAsia="Microsoft YaHei"/>
          <w:b w:val="0"/>
          <w:color w:val="57534E"/>
          <w:sz w:val="19"/>
        </w:rPr>
        <w:t>: 关键源 6/7 活, 增量源 8/9 活</w:t>
      </w:r>
    </w:p>
    <w:p>
      <w:pPr>
        <w:pBdr>
          <w:left w:val="single" w:sz="6" w:space="3" w:color="E7E5E4"/>
        </w:pBdr>
        <w:ind w:left="144"/>
      </w:pP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</w:t>
      </w:r>
      <w:r>
        <w:rPr>
          <w:rFonts w:ascii="Microsoft YaHei" w:hAnsi="Microsoft YaHei" w:eastAsia="Microsoft YaHei"/>
          <w:b/>
          <w:color w:val="B45309"/>
          <w:sz w:val="20"/>
        </w:rPr>
        <w:t>关键缺失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(影响核心结论):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• </w:t>
      </w:r>
      <w:r>
        <w:rPr>
          <w:rFonts w:ascii="Microsoft YaHei" w:hAnsi="Microsoft YaHei" w:eastAsia="Microsoft YaHei"/>
          <w:b/>
          <w:color w:val="57534E"/>
          <w:sz w:val="19"/>
        </w:rPr>
        <w:t>申万分类</w:t>
      </w:r>
      <w:r>
        <w:rPr>
          <w:rFonts w:ascii="Microsoft YaHei" w:hAnsi="Microsoft YaHei" w:eastAsia="Microsoft YaHei"/>
          <w:b w:val="0"/>
          <w:color w:val="57534E"/>
          <w:sz w:val="19"/>
        </w:rPr>
        <w:t>: error:申万表加载失败, 0ms  →  申万行业因子按 v2 默认中性计, 行业稳定性不评估</w:t>
      </w:r>
    </w:p>
    <w:p>
      <w:pPr>
        <w:pBdr>
          <w:left w:val="single" w:sz="6" w:space="3" w:color="E7E5E4"/>
        </w:pBdr>
        <w:ind w:left="144"/>
      </w:pP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ℹ️ </w:t>
      </w:r>
      <w:r>
        <w:rPr>
          <w:rFonts w:ascii="Microsoft YaHei" w:hAnsi="Microsoft YaHei" w:eastAsia="Microsoft YaHei"/>
          <w:b/>
          <w:color w:val="57534E"/>
          <w:sz w:val="19"/>
        </w:rPr>
        <w:t>增量缺失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(次要章节降级, 核心结论不受影响):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• </w:t>
      </w:r>
      <w:r>
        <w:rPr>
          <w:rFonts w:ascii="Microsoft YaHei" w:hAnsi="Microsoft YaHei" w:eastAsia="Microsoft YaHei"/>
          <w:b/>
          <w:color w:val="57534E"/>
          <w:sz w:val="19"/>
        </w:rPr>
        <w:t>当日资金流</w:t>
      </w:r>
      <w:r>
        <w:rPr>
          <w:rFonts w:ascii="Microsoft YaHei" w:hAnsi="Microsoft YaHei" w:eastAsia="Microsoft YaHei"/>
          <w:b w:val="0"/>
          <w:color w:val="57534E"/>
          <w:sz w:val="19"/>
        </w:rPr>
        <w:t>: error:HTTPSConnectionPool(host='push2his.eastmoney.com', por</w:t>
      </w:r>
    </w:p>
    <w:p>
      <w:pPr>
        <w:pBdr>
          <w:left w:val="single" w:sz="6" w:space="3" w:color="E7E5E4"/>
        </w:pBdr>
        <w:ind w:left="144"/>
      </w:pP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🔒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TLS 修复建议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(§5):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• `swsresearch.com`: pip install -U certifi  (影响: 申万分类)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30 秒决策卡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中性偏空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震荡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DC2626"/>
          <w:sz w:val="28"/>
        </w:rPr>
        <w:t>46/100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一句话: </w:t>
      </w:r>
      <w:r>
        <w:rPr>
          <w:rFonts w:ascii="Microsoft YaHei" w:hAnsi="Microsoft YaHei" w:eastAsia="Microsoft YaHei"/>
          <w:b/>
          <w:color w:val="1C1917"/>
          <w:sz w:val="28"/>
        </w:rPr>
        <w:t>减仓观望，已有持仓设紧止损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💰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现价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涨跌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🏭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流通市值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📈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PE(TTM)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📉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PB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 分位(3年)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🎯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PEG</w:t>
            </w:r>
          </w:p>
        </w:tc>
      </w:tr>
      <w:tr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1"/>
              </w:rPr>
              <w:t>9.82 元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-1.50%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85.4 亿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174.5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2.37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65.6%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8.15 (极贵)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评分构成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/>
          <w:color w:val="57534E"/>
          <w:sz w:val="19"/>
        </w:rPr>
        <w:t>技术 18.0/28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+ </w:t>
      </w:r>
      <w:r>
        <w:rPr>
          <w:rFonts w:ascii="Microsoft YaHei" w:hAnsi="Microsoft YaHei" w:eastAsia="Microsoft YaHei"/>
          <w:b/>
          <w:color w:val="57534E"/>
          <w:sz w:val="19"/>
        </w:rPr>
        <w:t>资金 10.0/25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+ </w:t>
      </w:r>
      <w:r>
        <w:rPr>
          <w:rFonts w:ascii="Microsoft YaHei" w:hAnsi="Microsoft YaHei" w:eastAsia="Microsoft YaHei"/>
          <w:b/>
          <w:color w:val="57534E"/>
          <w:sz w:val="19"/>
        </w:rPr>
        <w:t>估值 10.0/29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+ </w:t>
      </w:r>
      <w:r>
        <w:rPr>
          <w:rFonts w:ascii="Microsoft YaHei" w:hAnsi="Microsoft YaHei" w:eastAsia="Microsoft YaHei"/>
          <w:b/>
          <w:color w:val="57534E"/>
          <w:sz w:val="19"/>
        </w:rPr>
        <w:t>情绪 4.0/8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+ </w:t>
      </w:r>
      <w:r>
        <w:rPr>
          <w:rFonts w:ascii="Microsoft YaHei" w:hAnsi="Microsoft YaHei" w:eastAsia="Microsoft YaHei"/>
          <w:b/>
          <w:color w:val="57534E"/>
          <w:sz w:val="19"/>
        </w:rPr>
        <w:t>风险 4.0/10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= </w:t>
      </w:r>
      <w:r>
        <w:rPr>
          <w:rFonts w:ascii="Microsoft YaHei" w:hAnsi="Microsoft YaHei" w:eastAsia="Microsoft YaHei"/>
          <w:b/>
          <w:color w:val="57534E"/>
          <w:sz w:val="19"/>
        </w:rPr>
        <w:t>综合 46.0/100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占比提示: </w:t>
      </w:r>
      <w:r>
        <w:rPr>
          <w:rFonts w:ascii="Microsoft YaHei" w:hAnsi="Microsoft YaHei" w:eastAsia="Microsoft YaHei"/>
          <w:b w:val="0"/>
          <w:sz w:val="19"/>
        </w:rPr>
        <w:t>🟡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技术 64% ｜ </w:t>
      </w:r>
      <w:r>
        <w:rPr>
          <w:rFonts w:ascii="Microsoft YaHei" w:hAnsi="Microsoft YaHei" w:eastAsia="Microsoft YaHei"/>
          <w:b w:val="0"/>
          <w:sz w:val="19"/>
        </w:rPr>
        <w:t>🟡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资金 40% ｜ </w:t>
      </w:r>
      <w:r>
        <w:rPr>
          <w:rFonts w:ascii="Microsoft YaHei" w:hAnsi="Microsoft YaHei" w:eastAsia="Microsoft YaHei"/>
          <w:b w:val="0"/>
          <w:sz w:val="19"/>
        </w:rPr>
        <w:t>🔴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估值 34% ｜ </w:t>
      </w:r>
      <w:r>
        <w:rPr>
          <w:rFonts w:ascii="Microsoft YaHei" w:hAnsi="Microsoft YaHei" w:eastAsia="Microsoft YaHei"/>
          <w:b w:val="0"/>
          <w:sz w:val="19"/>
        </w:rPr>
        <w:t>🟡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情绪 50% ｜ </w:t>
      </w:r>
      <w:r>
        <w:rPr>
          <w:rFonts w:ascii="Microsoft YaHei" w:hAnsi="Microsoft YaHei" w:eastAsia="Microsoft YaHei"/>
          <w:b w:val="0"/>
          <w:sz w:val="19"/>
        </w:rPr>
        <w:t>🟡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风险 40%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🎯 三价位（V2 同源实时模型 · 远/近期位分层）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📐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命名约定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(P0-A 规范整改 v1.0 + 批次 E 痛 1, 2026-09-14): 操作位 = 3 候选(ma60/chip_peak/boll) 距现价 5-25% 范围最近; 参考位 = 60 日最低/最高 (远端极值, 不筛选, 仅供参考, 不是操作位)。完整规则: `analysis/references/three-levels-rules.md`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距现价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来源 / 触发动作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💰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现价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9.82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0% (参考)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腾讯实时行情 (报告日 2026-09-22)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操作支撑位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9.13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-7.0%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 候选(ma60/chip_peak/boll) 距现价 5-25% 范围最近 · 当前来源: `chip_peak`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操作压力位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11.74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+19.6%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 候选(ma250/boll_upper/recent_high) 距现价 5-25% 范围最近 · 当前来源: `boll_upper`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📌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参考支撑位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(60日最低)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7.16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-27.1%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远端极值, 不作为操作依据 (仅作'如果跌穿 X 形态破位'的参考线)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📌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参考压力位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(60日最高)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+24.2%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远端极值, 不作为操作依据 (仅作'如果涨穿 X 形态突破'的参考线)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8.86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-9.8%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复用 trading_plan.stop_loss · 5 状态机锁定 · 跌破必走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📋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4 支撑候选</w:t>
      </w:r>
      <w:r>
        <w:rPr>
          <w:rFonts w:ascii="Microsoft YaHei" w:hAnsi="Microsoft YaHei" w:eastAsia="Microsoft YaHei"/>
          <w:b w:val="0"/>
          <w:color w:val="57534E"/>
          <w:sz w:val="19"/>
        </w:rPr>
        <w:t>: ma60=9.12 / recent_low=7.16 / chip_peak=9.13 / boll_lower=8.23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📋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3 压力候选</w:t>
      </w:r>
      <w:r>
        <w:rPr>
          <w:rFonts w:ascii="Microsoft YaHei" w:hAnsi="Microsoft YaHei" w:eastAsia="Microsoft YaHei"/>
          <w:b w:val="0"/>
          <w:color w:val="57534E"/>
          <w:sz w:val="19"/>
        </w:rPr>
        <w:t>: ma250_or_ma120=9.68 / recent_high=12.20 / boll_upper=11.74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操作口诀（5 状态机）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【结论】综合评分 46 处于 45-55 区间，多空平衡、震荡格局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【操作】区间操作 — 上沿 10.8 减仓、下沿 9.53 低吸、严格止损 8.86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【风险】单边突破区间则按突破方向顺势操作，不预判方向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📊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多目标价</w:t>
      </w:r>
      <w:r>
        <w:rPr>
          <w:rFonts w:ascii="Microsoft YaHei" w:hAnsi="Microsoft YaHei" w:eastAsia="Microsoft YaHei"/>
          <w:b w:val="0"/>
          <w:color w:val="57534E"/>
          <w:sz w:val="19"/>
        </w:rPr>
        <w:t>: 短 10.80 / 中 12.28 / 远 14.73 元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🎯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买入区间</w:t>
      </w:r>
      <w:r>
        <w:rPr>
          <w:rFonts w:ascii="Microsoft YaHei" w:hAnsi="Microsoft YaHei" w:eastAsia="Microsoft YaHei"/>
          <w:b w:val="0"/>
          <w:color w:val="57534E"/>
          <w:sz w:val="19"/>
        </w:rPr>
        <w:t>: 9.53~9.82 元 (分批上限 9.82)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⏱ </w:t>
      </w:r>
      <w:r>
        <w:rPr>
          <w:rFonts w:ascii="Microsoft YaHei" w:hAnsi="Microsoft YaHei" w:eastAsia="Microsoft YaHei"/>
          <w:b/>
          <w:color w:val="57534E"/>
          <w:sz w:val="19"/>
        </w:rPr>
        <w:t>周期</w:t>
      </w:r>
      <w:r>
        <w:rPr>
          <w:rFonts w:ascii="Microsoft YaHei" w:hAnsi="Microsoft YaHei" w:eastAsia="Microsoft YaHei"/>
          <w:b w:val="0"/>
          <w:color w:val="57534E"/>
          <w:sz w:val="19"/>
        </w:rPr>
        <w:t>: 短线 1-2 周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🔒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数据可信度</w:t>
      </w:r>
      <w:r>
        <w:rPr>
          <w:rFonts w:ascii="Microsoft YaHei" w:hAnsi="Microsoft YaHei" w:eastAsia="Microsoft YaHei"/>
          <w:b w:val="0"/>
          <w:color w:val="57534E"/>
          <w:sz w:val="19"/>
        </w:rPr>
        <w:t>: 三价位由 V2 同源实时模型推导 (腾讯实时行情 + baostock 前复权筹码K线)，</w:t>
      </w:r>
      <w:r>
        <w:rPr>
          <w:rFonts w:ascii="Microsoft YaHei" w:hAnsi="Microsoft YaHei" w:eastAsia="Microsoft YaHei"/>
          <w:b/>
          <w:color w:val="57534E"/>
          <w:sz w:val="19"/>
        </w:rPr>
        <w:t>未使用任何池 CSV 陈旧价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描述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严重度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解禁压力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未来 90 天无解禁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90 日无 upcoming 记录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无需应对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财报窗口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最近已披露 2026-06-30; 下一法定披露截止 2026-10-31 (三季报) 距今 38 天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低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距披露日 &gt; 30 日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无需立即应对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 174.5 极高估, 泡沫风险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 &gt; 80; 估值分位 65.6%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减仓兑现, 不追高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日平均净卖出 -9,538 万元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🟠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日均净卖 &gt; 1000 万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游资撤退, 谨慎追涨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📋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当前状态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: </w:t>
      </w:r>
      <w:r>
        <w:rPr>
          <w:rFonts w:ascii="Microsoft YaHei" w:hAnsi="Microsoft YaHei" w:eastAsia="Microsoft YaHei"/>
          <w:b w:val="0"/>
          <w:sz w:val="19"/>
        </w:rPr>
        <w:t>🟡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震荡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(评分 46 分, 状态 `neutral`)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确认多空: 评分 45-54 + 多空信号混杂, 5 状态机判定为中性 (区间震荡)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买点: 仅在 9.53~9.82 支撑区低吸, 上轨 10.80 附近不过量追高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卖点: 反弹至 10.80 一带减仓; 跌破 8.86 转空离场; 放量站稳 10.80 再看多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止损: 8.86 为区间底沿, 收盘破位即走, 不猜底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仓位: 不进场 / 已有持仓减仓 | 以低吸高抛为主, 周期 中线 3-6 个月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📎</w:t>
      </w:r>
      <w:r>
        <w:rPr>
          <w:rFonts w:ascii="Microsoft YaHei" w:hAnsi="Microsoft YaHei" w:eastAsia="Microsoft YaHei"/>
          <w:b w:val="0"/>
          <w:sz w:val="21"/>
        </w:rPr>
        <w:t xml:space="preserve"> </w:t>
      </w:r>
      <w:r>
        <w:rPr>
          <w:rFonts w:ascii="Microsoft YaHei" w:hAnsi="Microsoft YaHei" w:eastAsia="Microsoft YaHei"/>
          <w:b/>
          <w:sz w:val="21"/>
        </w:rPr>
        <w:t>完整报告</w:t>
      </w:r>
      <w:r>
        <w:rPr>
          <w:rFonts w:ascii="Microsoft YaHei" w:hAnsi="Microsoft YaHei" w:eastAsia="Microsoft YaHei"/>
          <w:b w:val="0"/>
          <w:sz w:val="21"/>
        </w:rPr>
        <w:t>: 研报 / 公告 / 财务 / 同业 / 资金面 / 新闻 / 筹码 / 估值历史 / 龙虎榜 / 因子明细 / 数据链路 → 看 `*-v3-*.html` 报告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2026-09-22 15:57,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86517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10054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92831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-45.26%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9370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169595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220.41%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5129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-14.94%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16434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↓-6.80%，筹码集中度上升（潜在主力吸筹）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nan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1994-05-21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10送1股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1995-06-03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10派2.00元(含税)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1996-07-09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10派1.00元(含税)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1997-05-28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10转增1股派3元(含税)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1998-07-25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2001-07-20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2005-08-06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2008-03-12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2009-06-02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10送3股派1.5元（含税）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2012-06-22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nan 元（分红率低，回报股东能力弱）；含转增，股本扩张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华瓷股份 001216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2.59亿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内蒙新华 603230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093436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0.65亿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出版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南华生物 000504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2.73亿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医疗服务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新华文轩 601811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1.44亿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出版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三羊马 001317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093218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0.50亿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铁路公路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博通集成 603068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095619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半导体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新华传媒 600825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21.46亿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出版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哈药股份 600664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093125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3.60亿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化学制药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泰慕士 001234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2.50亿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服装家纺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华媒控股 000607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1.49亿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广告营销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菲林格尔 603226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-10.008203506469727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0.22亿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盛景微 603375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0.07亿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荣丰控股 000668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-9.974160194396973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68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26.52亿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26.52亿，主力大幅介入，市场情绪偏多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中材科技 002080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5.55亿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百花医药 600721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2.28亿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我爱我家 000560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2.17亿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百花医药 600721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1.66亿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百花医药 600721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1.66亿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广合科技 001389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透景生命 300642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1.48亿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德尔未来 002631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1.40亿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大连圣亚 600593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1.38亿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通宇通讯 002792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绿地控股 600606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双星新材 002585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金丹科技 300829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0.76亿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奥康国际 603001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洛轴股份 301699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宏昌科技 301008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肯特催化 603120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三羊马 001317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中岩大地 003001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西陇科学 002584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0.39亿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2026-09-22 15:57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