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F3864"/>
          <w:sz w:val="40"/>
          <w:szCs w:val="40"/>
        </w:rPr>
        <w:t xml:space="preserve">COMPREHENSIVE EVALUATION AND</w:t>
      </w:r>
    </w:p>
    <w:p>
      <w:pPr>
        <w:spacing w:after="300"/>
        <w:jc w:val="center"/>
      </w:pPr>
      <w:r>
        <w:rPr>
          <w:b/>
          <w:bCs/>
          <w:color w:val="1F3864"/>
          <w:sz w:val="40"/>
          <w:szCs w:val="40"/>
        </w:rPr>
        <w:t xml:space="preserve">BUSINESS REPORTING FRAMEWORK</w:t>
      </w:r>
    </w:p>
    <w:p>
      <w:pPr>
        <w:spacing w:after="100"/>
        <w:jc w:val="center"/>
      </w:pPr>
      <w:r>
        <w:rPr>
          <w:i/>
          <w:iCs/>
          <w:color w:val="2E5597"/>
          <w:sz w:val="26"/>
          <w:szCs w:val="26"/>
        </w:rPr>
        <w:t xml:space="preserve">Predictive Models &amp; Visual Analytics for Used-Car Price Intelligence</w:t>
      </w:r>
    </w:p>
    <w:p>
      <w:pPr>
        <w:spacing w:after="500"/>
        <w:jc w:val="center"/>
      </w:pPr>
      <w:r>
        <w:rPr>
          <w:color w:val="595959"/>
          <w:sz w:val="22"/>
          <w:szCs w:val="22"/>
        </w:rPr>
        <w:t xml:space="preserve">Week 6 Deliverable — Data Analytics Program</w:t>
      </w:r>
    </w:p>
    <w:p>
      <w:pPr>
        <w:pBdr>
          <w:top w:val="single" w:color="2E5597" w:sz="6" w:space="8"/>
          <w:bottom w:val="single" w:color="2E5597" w:sz="6" w:space="8"/>
        </w:pBdr>
        <w:spacing w:before="300"/>
        <w:jc w:val="center"/>
      </w:pPr>
      <w:r>
        <w:rPr>
          <w:b/>
          <w:bCs/>
          <w:sz w:val="22"/>
          <w:szCs w:val="22"/>
        </w:rPr>
        <w:t xml:space="preserve">Prepared by: Swarup Bhosale</w:t>
      </w:r>
    </w:p>
    <w:p>
      <w:pPr>
        <w:spacing w:after="800" w:before="120"/>
        <w:jc w:val="center"/>
      </w:pPr>
      <w:r>
        <w:rPr>
          <w:color w:val="595959"/>
          <w:sz w:val="20"/>
          <w:szCs w:val="20"/>
        </w:rPr>
        <w:t xml:space="preserve">Data Analyst Candidate | Pune, Maharashtra</w:t>
      </w:r>
    </w:p>
    <w:p>
      <w:r>
        <w:br w:type="page"/>
      </w:r>
    </w:p>
    <w:p>
      <w:pPr>
        <w:pStyle w:val="Heading1"/>
        <w:pBdr>
          <w:bottom w:val="single" w:color="2E5597" w:sz="6" w:space="4"/>
        </w:pBdr>
        <w:spacing w:after="200" w:before="400"/>
      </w:pPr>
      <w:r>
        <w:rPr>
          <w:b/>
          <w:bCs/>
          <w:color w:val="1F3864"/>
          <w:sz w:val="30"/>
          <w:szCs w:val="30"/>
        </w:rPr>
        <w:t xml:space="preserve">1. Purpose and Scope</w:t>
      </w:r>
    </w:p>
    <w:p>
      <w:pPr>
        <w:spacing w:after="160" w:line="300"/>
        <w:jc w:val="both"/>
      </w:pPr>
      <w:r>
        <w:rPr>
          <w:sz w:val="22"/>
          <w:szCs w:val="22"/>
        </w:rPr>
        <w:t xml:space="preserve">This document consolidates the predictive modeling and visual analytics work completed in Weeks 1–5 of the project — built on used-car listing data (Pakistan market listings and a general used-car pricing dataset) — into a single evaluation and reporting framework. Its purpose is threefold: (1) to define how model and dashboard performance will be judged, (2) to show how those technical results are converted into recommendations a non-technical stakeholder can act on, and (3) to demonstrate that translation with a sample executive summary and reporting guidelines that can be reused for future analytics cycles.</w:t>
      </w:r>
    </w:p>
    <w:p>
      <w:pPr>
        <w:spacing w:after="160" w:line="300"/>
        <w:jc w:val="both"/>
      </w:pPr>
      <w:r>
        <w:rPr>
          <w:sz w:val="22"/>
          <w:szCs w:val="22"/>
        </w:rPr>
        <w:t xml:space="preserve">The framework below is written to be reusable beyond this project. Any future predictive model or dashboard the analytics team produces — whether forecasting price, demand, or customer churn — can be evaluated using the same structure: metric selection, insight synthesis, stakeholder communication, and a standing set of reporting best practices.</w:t>
      </w:r>
    </w:p>
    <w:p>
      <w:pPr>
        <w:pStyle w:val="Heading1"/>
        <w:pBdr>
          <w:bottom w:val="single" w:color="2E5597" w:sz="6" w:space="4"/>
        </w:pBdr>
        <w:spacing w:after="200" w:before="400"/>
      </w:pPr>
      <w:r>
        <w:rPr>
          <w:b/>
          <w:bCs/>
          <w:color w:val="1F3864"/>
          <w:sz w:val="30"/>
          <w:szCs w:val="30"/>
        </w:rPr>
        <w:t xml:space="preserve">2. Framework for Evaluating Predictive Models and Visual Analytics</w:t>
      </w:r>
    </w:p>
    <w:p>
      <w:pPr>
        <w:spacing w:after="160" w:line="300"/>
        <w:jc w:val="both"/>
      </w:pPr>
      <w:r>
        <w:rPr>
          <w:sz w:val="22"/>
          <w:szCs w:val="22"/>
        </w:rPr>
        <w:t xml:space="preserve">A model that performs well on paper is only valuable if its output changes a decision. The framework below evaluates work at three layers, moving from technical correctness to business usefulness.</w:t>
      </w:r>
    </w:p>
    <w:p>
      <w:pPr>
        <w:pStyle w:val="Heading2"/>
        <w:spacing w:after="140" w:before="280"/>
      </w:pPr>
      <w:r>
        <w:rPr>
          <w:b/>
          <w:bCs/>
          <w:color w:val="2E5597"/>
          <w:sz w:val="24"/>
          <w:szCs w:val="24"/>
        </w:rPr>
        <w:t xml:space="preserve">2.1 Layer One — Statistical Validity</w:t>
      </w:r>
    </w:p>
    <w:p>
      <w:pPr>
        <w:spacing w:after="160" w:line="300"/>
        <w:jc w:val="both"/>
      </w:pPr>
      <w:r>
        <w:rPr>
          <w:sz w:val="22"/>
          <w:szCs w:val="22"/>
        </w:rPr>
        <w:t xml:space="preserve">Does the model perform reliably on data it has not seen before? This layer uses the quantitative metrics detailed in Section 3, checked on a held-out test set rather than the training data, and compared against a simple baseline (e.g., predicting the average price) to confirm the model adds real value.</w:t>
      </w:r>
    </w:p>
    <w:p>
      <w:pPr>
        <w:pStyle w:val="Heading2"/>
        <w:spacing w:after="140" w:before="280"/>
      </w:pPr>
      <w:r>
        <w:rPr>
          <w:b/>
          <w:bCs/>
          <w:color w:val="2E5597"/>
          <w:sz w:val="24"/>
          <w:szCs w:val="24"/>
        </w:rPr>
        <w:t xml:space="preserve">2.2 Layer Two — Operational Fit</w:t>
      </w:r>
    </w:p>
    <w:p>
      <w:pPr>
        <w:spacing w:after="160" w:line="300"/>
        <w:jc w:val="both"/>
      </w:pPr>
      <w:r>
        <w:rPr>
          <w:sz w:val="22"/>
          <w:szCs w:val="22"/>
        </w:rPr>
        <w:t xml:space="preserve">Is the output usable in the workflow it is meant to support? This includes prediction speed, how easily the dashboard refreshes with new data, whether error margins are tight enough for the decision being made, and whether the visualizations highlight the right comparisons without requiring a data background to read.</w:t>
      </w:r>
    </w:p>
    <w:p>
      <w:pPr>
        <w:pStyle w:val="Heading2"/>
        <w:spacing w:after="140" w:before="280"/>
      </w:pPr>
      <w:r>
        <w:rPr>
          <w:b/>
          <w:bCs/>
          <w:color w:val="2E5597"/>
          <w:sz w:val="24"/>
          <w:szCs w:val="24"/>
        </w:rPr>
        <w:t xml:space="preserve">2.3 Layer Three — Business Impact</w:t>
      </w:r>
    </w:p>
    <w:p>
      <w:pPr>
        <w:spacing w:after="160" w:line="300"/>
        <w:jc w:val="both"/>
      </w:pPr>
      <w:r>
        <w:rPr>
          <w:sz w:val="22"/>
          <w:szCs w:val="22"/>
        </w:rPr>
        <w:t xml:space="preserve">Does acting on the model's output improve a metric the business cares about — pricing accuracy, time to close a sale, reduced manual review effort, or customer trust? This is the layer stakeholders care about most, and Section 4 explains how the first two layers feed into it.</w:t>
      </w:r>
    </w:p>
    <w:p>
      <w:pPr>
        <w:pStyle w:val="Heading1"/>
        <w:pBdr>
          <w:bottom w:val="single" w:color="2E5597" w:sz="6" w:space="4"/>
        </w:pBdr>
        <w:spacing w:after="200" w:before="400"/>
      </w:pPr>
      <w:r>
        <w:rPr>
          <w:b/>
          <w:bCs/>
          <w:color w:val="1F3864"/>
          <w:sz w:val="30"/>
          <w:szCs w:val="30"/>
        </w:rPr>
        <w:t xml:space="preserve">3. Model Evaluation Metrics</w:t>
      </w:r>
    </w:p>
    <w:p>
      <w:pPr>
        <w:spacing w:after="160" w:line="300"/>
        <w:jc w:val="both"/>
      </w:pPr>
      <w:r>
        <w:rPr>
          <w:sz w:val="22"/>
          <w:szCs w:val="22"/>
        </w:rPr>
        <w:t xml:space="preserve">Classification-style tasks in this project (e.g., tagging a listing as “high demand” or flagging likely underpriced listings) and regression tasks (predicting the exact resale price) call for different metrics. The table below summarizes the five core metrics, what each represents, and when it should be the deciding factor.</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3600"/>
        <w:gridCol w:w="2740"/>
      </w:tblGrid>
      <w:tr>
        <w:trPr>
          <w:tblHeader/>
        </w:trPr>
        <w:tc>
          <w:tcPr>
            <w:tcW w:type="dxa" w:w="1500"/>
            <w:shd w:fill="1F3864" w:val="clear"/>
            <w:tcMar>
              <w:top w:type="dxa" w:w="80"/>
              <w:left w:type="dxa" w:w="100"/>
              <w:bottom w:type="dxa" w:w="80"/>
              <w:right w:type="dxa" w:w="100"/>
            </w:tcMar>
          </w:tcPr>
          <w:p>
            <w:r>
              <w:rPr>
                <w:b/>
                <w:bCs/>
                <w:color w:val="FFFFFF"/>
                <w:sz w:val="20"/>
                <w:szCs w:val="20"/>
              </w:rPr>
              <w:t xml:space="preserve">Metric</w:t>
            </w:r>
          </w:p>
        </w:tc>
        <w:tc>
          <w:tcPr>
            <w:tcW w:type="dxa" w:w="1600"/>
            <w:shd w:fill="1F3864" w:val="clear"/>
            <w:tcMar>
              <w:top w:type="dxa" w:w="80"/>
              <w:left w:type="dxa" w:w="100"/>
              <w:bottom w:type="dxa" w:w="80"/>
              <w:right w:type="dxa" w:w="100"/>
            </w:tcMar>
          </w:tcPr>
          <w:p>
            <w:r>
              <w:rPr>
                <w:b/>
                <w:bCs/>
                <w:color w:val="FFFFFF"/>
                <w:sz w:val="20"/>
                <w:szCs w:val="20"/>
              </w:rPr>
              <w:t xml:space="preserve">Formula / Basis</w:t>
            </w:r>
          </w:p>
        </w:tc>
        <w:tc>
          <w:tcPr>
            <w:tcW w:type="dxa" w:w="3600"/>
            <w:shd w:fill="1F3864" w:val="clear"/>
            <w:tcMar>
              <w:top w:type="dxa" w:w="80"/>
              <w:left w:type="dxa" w:w="100"/>
              <w:bottom w:type="dxa" w:w="80"/>
              <w:right w:type="dxa" w:w="100"/>
            </w:tcMar>
          </w:tcPr>
          <w:p>
            <w:r>
              <w:rPr>
                <w:b/>
                <w:bCs/>
                <w:color w:val="FFFFFF"/>
                <w:sz w:val="20"/>
                <w:szCs w:val="20"/>
              </w:rPr>
              <w:t xml:space="preserve">What It Tells the Business</w:t>
            </w:r>
          </w:p>
        </w:tc>
        <w:tc>
          <w:tcPr>
            <w:tcW w:type="dxa" w:w="2740"/>
            <w:shd w:fill="1F3864" w:val="clear"/>
            <w:tcMar>
              <w:top w:type="dxa" w:w="80"/>
              <w:left w:type="dxa" w:w="100"/>
              <w:bottom w:type="dxa" w:w="80"/>
              <w:right w:type="dxa" w:w="100"/>
            </w:tcMar>
          </w:tcPr>
          <w:p>
            <w:r>
              <w:rPr>
                <w:b/>
                <w:bCs/>
                <w:color w:val="FFFFFF"/>
                <w:sz w:val="20"/>
                <w:szCs w:val="20"/>
              </w:rPr>
              <w:t xml:space="preserve">When to Prioritize It</w:t>
            </w:r>
          </w:p>
        </w:tc>
      </w:tr>
      <w:tr>
        <w:tc>
          <w:tcPr>
            <w:tcW w:type="dxa" w:w="1500"/>
            <w:shd w:fill="DCE6F1" w:val="clear"/>
            <w:tcMar>
              <w:top w:type="dxa" w:w="80"/>
              <w:left w:type="dxa" w:w="100"/>
              <w:bottom w:type="dxa" w:w="80"/>
              <w:right w:type="dxa" w:w="100"/>
            </w:tcMar>
          </w:tcPr>
          <w:p>
            <w:r>
              <w:rPr>
                <w:b/>
                <w:bCs/>
                <w:color w:val="000000"/>
                <w:sz w:val="20"/>
                <w:szCs w:val="20"/>
              </w:rPr>
              <w:t xml:space="preserve">Accuracy</w:t>
            </w:r>
          </w:p>
        </w:tc>
        <w:tc>
          <w:tcPr>
            <w:tcW w:type="dxa" w:w="1600"/>
            <w:tcMar>
              <w:top w:type="dxa" w:w="80"/>
              <w:left w:type="dxa" w:w="100"/>
              <w:bottom w:type="dxa" w:w="80"/>
              <w:right w:type="dxa" w:w="100"/>
            </w:tcMar>
          </w:tcPr>
          <w:p>
            <w:r>
              <w:rPr>
                <w:b w:val="false"/>
                <w:bCs w:val="false"/>
                <w:color w:val="000000"/>
                <w:sz w:val="20"/>
                <w:szCs w:val="20"/>
              </w:rPr>
              <w:t xml:space="preserve">Correct predictions / Total predictions</w:t>
            </w:r>
          </w:p>
        </w:tc>
        <w:tc>
          <w:tcPr>
            <w:tcW w:type="dxa" w:w="3600"/>
            <w:tcMar>
              <w:top w:type="dxa" w:w="80"/>
              <w:left w:type="dxa" w:w="100"/>
              <w:bottom w:type="dxa" w:w="80"/>
              <w:right w:type="dxa" w:w="100"/>
            </w:tcMar>
          </w:tcPr>
          <w:p>
            <w:r>
              <w:rPr>
                <w:b w:val="false"/>
                <w:bCs w:val="false"/>
                <w:color w:val="000000"/>
                <w:sz w:val="20"/>
                <w:szCs w:val="20"/>
              </w:rPr>
              <w:t xml:space="preserve">Overall proportion of correct outcomes across all classes.</w:t>
            </w:r>
          </w:p>
        </w:tc>
        <w:tc>
          <w:tcPr>
            <w:tcW w:type="dxa" w:w="2740"/>
            <w:tcMar>
              <w:top w:type="dxa" w:w="80"/>
              <w:left w:type="dxa" w:w="100"/>
              <w:bottom w:type="dxa" w:w="80"/>
              <w:right w:type="dxa" w:w="100"/>
            </w:tcMar>
          </w:tcPr>
          <w:p>
            <w:r>
              <w:rPr>
                <w:b w:val="false"/>
                <w:bCs w:val="false"/>
                <w:color w:val="000000"/>
                <w:sz w:val="20"/>
                <w:szCs w:val="20"/>
              </w:rPr>
              <w:t xml:space="preserve">Balanced datasets where all outcome classes matter equally.</w:t>
            </w:r>
          </w:p>
        </w:tc>
      </w:tr>
      <w:tr>
        <w:tc>
          <w:tcPr>
            <w:tcW w:type="dxa" w:w="1500"/>
            <w:shd w:fill="DCE6F1" w:val="clear"/>
            <w:tcMar>
              <w:top w:type="dxa" w:w="80"/>
              <w:left w:type="dxa" w:w="100"/>
              <w:bottom w:type="dxa" w:w="80"/>
              <w:right w:type="dxa" w:w="100"/>
            </w:tcMar>
          </w:tcPr>
          <w:p>
            <w:r>
              <w:rPr>
                <w:b/>
                <w:bCs/>
                <w:color w:val="000000"/>
                <w:sz w:val="20"/>
                <w:szCs w:val="20"/>
              </w:rPr>
              <w:t xml:space="preserve">Precision</w:t>
            </w:r>
          </w:p>
        </w:tc>
        <w:tc>
          <w:tcPr>
            <w:tcW w:type="dxa" w:w="1600"/>
            <w:tcMar>
              <w:top w:type="dxa" w:w="80"/>
              <w:left w:type="dxa" w:w="100"/>
              <w:bottom w:type="dxa" w:w="80"/>
              <w:right w:type="dxa" w:w="100"/>
            </w:tcMar>
          </w:tcPr>
          <w:p>
            <w:r>
              <w:rPr>
                <w:b w:val="false"/>
                <w:bCs w:val="false"/>
                <w:color w:val="000000"/>
                <w:sz w:val="20"/>
                <w:szCs w:val="20"/>
              </w:rPr>
              <w:t xml:space="preserve">True Positives / (True Positives + False Positives)</w:t>
            </w:r>
          </w:p>
        </w:tc>
        <w:tc>
          <w:tcPr>
            <w:tcW w:type="dxa" w:w="3600"/>
            <w:tcMar>
              <w:top w:type="dxa" w:w="80"/>
              <w:left w:type="dxa" w:w="100"/>
              <w:bottom w:type="dxa" w:w="80"/>
              <w:right w:type="dxa" w:w="100"/>
            </w:tcMar>
          </w:tcPr>
          <w:p>
            <w:r>
              <w:rPr>
                <w:b w:val="false"/>
                <w:bCs w:val="false"/>
                <w:color w:val="000000"/>
                <w:sz w:val="20"/>
                <w:szCs w:val="20"/>
              </w:rPr>
              <w:t xml:space="preserve">Of everything the model flagged as positive, how much was actually correct — controls false alarms.</w:t>
            </w:r>
          </w:p>
        </w:tc>
        <w:tc>
          <w:tcPr>
            <w:tcW w:type="dxa" w:w="2740"/>
            <w:tcMar>
              <w:top w:type="dxa" w:w="80"/>
              <w:left w:type="dxa" w:w="100"/>
              <w:bottom w:type="dxa" w:w="80"/>
              <w:right w:type="dxa" w:w="100"/>
            </w:tcMar>
          </w:tcPr>
          <w:p>
            <w:r>
              <w:rPr>
                <w:b w:val="false"/>
                <w:bCs w:val="false"/>
                <w:color w:val="000000"/>
                <w:sz w:val="20"/>
                <w:szCs w:val="20"/>
              </w:rPr>
              <w:t xml:space="preserve">Cost of a false positive is high (e.g., flagging a loyal customer as a churn risk and over-spending on retention offers).</w:t>
            </w:r>
          </w:p>
        </w:tc>
      </w:tr>
      <w:tr>
        <w:tc>
          <w:tcPr>
            <w:tcW w:type="dxa" w:w="1500"/>
            <w:shd w:fill="DCE6F1" w:val="clear"/>
            <w:tcMar>
              <w:top w:type="dxa" w:w="80"/>
              <w:left w:type="dxa" w:w="100"/>
              <w:bottom w:type="dxa" w:w="80"/>
              <w:right w:type="dxa" w:w="100"/>
            </w:tcMar>
          </w:tcPr>
          <w:p>
            <w:r>
              <w:rPr>
                <w:b/>
                <w:bCs/>
                <w:color w:val="000000"/>
                <w:sz w:val="20"/>
                <w:szCs w:val="20"/>
              </w:rPr>
              <w:t xml:space="preserve">Recall (Sensitivity)</w:t>
            </w:r>
          </w:p>
        </w:tc>
        <w:tc>
          <w:tcPr>
            <w:tcW w:type="dxa" w:w="1600"/>
            <w:tcMar>
              <w:top w:type="dxa" w:w="80"/>
              <w:left w:type="dxa" w:w="100"/>
              <w:bottom w:type="dxa" w:w="80"/>
              <w:right w:type="dxa" w:w="100"/>
            </w:tcMar>
          </w:tcPr>
          <w:p>
            <w:r>
              <w:rPr>
                <w:b w:val="false"/>
                <w:bCs w:val="false"/>
                <w:color w:val="000000"/>
                <w:sz w:val="20"/>
                <w:szCs w:val="20"/>
              </w:rPr>
              <w:t xml:space="preserve">True Positives / (True Positives + False Negatives)</w:t>
            </w:r>
          </w:p>
        </w:tc>
        <w:tc>
          <w:tcPr>
            <w:tcW w:type="dxa" w:w="3600"/>
            <w:tcMar>
              <w:top w:type="dxa" w:w="80"/>
              <w:left w:type="dxa" w:w="100"/>
              <w:bottom w:type="dxa" w:w="80"/>
              <w:right w:type="dxa" w:w="100"/>
            </w:tcMar>
          </w:tcPr>
          <w:p>
            <w:r>
              <w:rPr>
                <w:b w:val="false"/>
                <w:bCs w:val="false"/>
                <w:color w:val="000000"/>
                <w:sz w:val="20"/>
                <w:szCs w:val="20"/>
              </w:rPr>
              <w:t xml:space="preserve">Of everything that was actually positive, how much the model caught — controls missed cases.</w:t>
            </w:r>
          </w:p>
        </w:tc>
        <w:tc>
          <w:tcPr>
            <w:tcW w:type="dxa" w:w="2740"/>
            <w:tcMar>
              <w:top w:type="dxa" w:w="80"/>
              <w:left w:type="dxa" w:w="100"/>
              <w:bottom w:type="dxa" w:w="80"/>
              <w:right w:type="dxa" w:w="100"/>
            </w:tcMar>
          </w:tcPr>
          <w:p>
            <w:r>
              <w:rPr>
                <w:b w:val="false"/>
                <w:bCs w:val="false"/>
                <w:color w:val="000000"/>
                <w:sz w:val="20"/>
                <w:szCs w:val="20"/>
              </w:rPr>
              <w:t xml:space="preserve">Cost of a false negative is high (e.g., missing a customer who is genuinely about to churn or a fraudulent transaction).</w:t>
            </w:r>
          </w:p>
        </w:tc>
      </w:tr>
      <w:tr>
        <w:tc>
          <w:tcPr>
            <w:tcW w:type="dxa" w:w="1500"/>
            <w:shd w:fill="DCE6F1" w:val="clear"/>
            <w:tcMar>
              <w:top w:type="dxa" w:w="80"/>
              <w:left w:type="dxa" w:w="100"/>
              <w:bottom w:type="dxa" w:w="80"/>
              <w:right w:type="dxa" w:w="100"/>
            </w:tcMar>
          </w:tcPr>
          <w:p>
            <w:r>
              <w:rPr>
                <w:b/>
                <w:bCs/>
                <w:color w:val="000000"/>
                <w:sz w:val="20"/>
                <w:szCs w:val="20"/>
              </w:rPr>
              <w:t xml:space="preserve">F1-Score</w:t>
            </w:r>
          </w:p>
        </w:tc>
        <w:tc>
          <w:tcPr>
            <w:tcW w:type="dxa" w:w="1600"/>
            <w:tcMar>
              <w:top w:type="dxa" w:w="80"/>
              <w:left w:type="dxa" w:w="100"/>
              <w:bottom w:type="dxa" w:w="80"/>
              <w:right w:type="dxa" w:w="100"/>
            </w:tcMar>
          </w:tcPr>
          <w:p>
            <w:r>
              <w:rPr>
                <w:b w:val="false"/>
                <w:bCs w:val="false"/>
                <w:color w:val="000000"/>
                <w:sz w:val="20"/>
                <w:szCs w:val="20"/>
              </w:rPr>
              <w:t xml:space="preserve">2 × (Precision × Recall) / (Precision + Recall)</w:t>
            </w:r>
          </w:p>
        </w:tc>
        <w:tc>
          <w:tcPr>
            <w:tcW w:type="dxa" w:w="3600"/>
            <w:tcMar>
              <w:top w:type="dxa" w:w="80"/>
              <w:left w:type="dxa" w:w="100"/>
              <w:bottom w:type="dxa" w:w="80"/>
              <w:right w:type="dxa" w:w="100"/>
            </w:tcMar>
          </w:tcPr>
          <w:p>
            <w:r>
              <w:rPr>
                <w:b w:val="false"/>
                <w:bCs w:val="false"/>
                <w:color w:val="000000"/>
                <w:sz w:val="20"/>
                <w:szCs w:val="20"/>
              </w:rPr>
              <w:t xml:space="preserve">A single balanced score when both false alarms and missed cases carry real cost.</w:t>
            </w:r>
          </w:p>
        </w:tc>
        <w:tc>
          <w:tcPr>
            <w:tcW w:type="dxa" w:w="2740"/>
            <w:tcMar>
              <w:top w:type="dxa" w:w="80"/>
              <w:left w:type="dxa" w:w="100"/>
              <w:bottom w:type="dxa" w:w="80"/>
              <w:right w:type="dxa" w:w="100"/>
            </w:tcMar>
          </w:tcPr>
          <w:p>
            <w:r>
              <w:rPr>
                <w:b w:val="false"/>
                <w:bCs w:val="false"/>
                <w:color w:val="000000"/>
                <w:sz w:val="20"/>
                <w:szCs w:val="20"/>
              </w:rPr>
              <w:t xml:space="preserve">Imbalanced datasets, or when stakeholders want one headline number instead of a precision/recall trade-off.</w:t>
            </w:r>
          </w:p>
        </w:tc>
      </w:tr>
      <w:tr>
        <w:tc>
          <w:tcPr>
            <w:tcW w:type="dxa" w:w="1500"/>
            <w:shd w:fill="DCE6F1" w:val="clear"/>
            <w:tcMar>
              <w:top w:type="dxa" w:w="80"/>
              <w:left w:type="dxa" w:w="100"/>
              <w:bottom w:type="dxa" w:w="80"/>
              <w:right w:type="dxa" w:w="100"/>
            </w:tcMar>
          </w:tcPr>
          <w:p>
            <w:r>
              <w:rPr>
                <w:b/>
                <w:bCs/>
                <w:color w:val="000000"/>
                <w:sz w:val="20"/>
                <w:szCs w:val="20"/>
              </w:rPr>
              <w:t xml:space="preserve">R-squared (R²)</w:t>
            </w:r>
          </w:p>
        </w:tc>
        <w:tc>
          <w:tcPr>
            <w:tcW w:type="dxa" w:w="1600"/>
            <w:tcMar>
              <w:top w:type="dxa" w:w="80"/>
              <w:left w:type="dxa" w:w="100"/>
              <w:bottom w:type="dxa" w:w="80"/>
              <w:right w:type="dxa" w:w="100"/>
            </w:tcMar>
          </w:tcPr>
          <w:p>
            <w:r>
              <w:rPr>
                <w:b w:val="false"/>
                <w:bCs w:val="false"/>
                <w:color w:val="000000"/>
                <w:sz w:val="20"/>
                <w:szCs w:val="20"/>
              </w:rPr>
              <w:t xml:space="preserve">1 − (Sum of Squared Residuals / Total Sum of Squares)</w:t>
            </w:r>
          </w:p>
        </w:tc>
        <w:tc>
          <w:tcPr>
            <w:tcW w:type="dxa" w:w="3600"/>
            <w:tcMar>
              <w:top w:type="dxa" w:w="80"/>
              <w:left w:type="dxa" w:w="100"/>
              <w:bottom w:type="dxa" w:w="80"/>
              <w:right w:type="dxa" w:w="100"/>
            </w:tcMar>
          </w:tcPr>
          <w:p>
            <w:r>
              <w:rPr>
                <w:b w:val="false"/>
                <w:bCs w:val="false"/>
                <w:color w:val="000000"/>
                <w:sz w:val="20"/>
                <w:szCs w:val="20"/>
              </w:rPr>
              <w:t xml:space="preserve">The share of variation in the target (e.g., price) that the model explains; closer to 1 is stronger.</w:t>
            </w:r>
          </w:p>
        </w:tc>
        <w:tc>
          <w:tcPr>
            <w:tcW w:type="dxa" w:w="2740"/>
            <w:tcMar>
              <w:top w:type="dxa" w:w="80"/>
              <w:left w:type="dxa" w:w="100"/>
              <w:bottom w:type="dxa" w:w="80"/>
              <w:right w:type="dxa" w:w="100"/>
            </w:tcMar>
          </w:tcPr>
          <w:p>
            <w:r>
              <w:rPr>
                <w:b w:val="false"/>
                <w:bCs w:val="false"/>
                <w:color w:val="000000"/>
                <w:sz w:val="20"/>
                <w:szCs w:val="20"/>
              </w:rPr>
              <w:t xml:space="preserve">Regression / forecasting problems, such as predicting a continuous value like used-car resale price.</w:t>
            </w:r>
          </w:p>
        </w:tc>
      </w:tr>
    </w:tbl>
    <w:p>
      <w:pPr>
        <w:spacing w:after="0" w:before="200"/>
      </w:pPr>
    </w:p>
    <w:p>
      <w:pPr>
        <w:spacing w:after="160" w:line="300"/>
        <w:jc w:val="both"/>
      </w:pPr>
      <w:r>
        <w:rPr>
          <w:b/>
          <w:bCs/>
          <w:color w:val="1F3864"/>
          <w:sz w:val="22"/>
          <w:szCs w:val="22"/>
        </w:rPr>
        <w:t xml:space="preserve">Practical note: </w:t>
      </w:r>
      <w:r>
        <w:rPr>
          <w:sz w:val="22"/>
          <w:szCs w:val="22"/>
        </w:rPr>
        <w:t xml:space="preserve">no single metric tells the whole story. A model with high accuracy can still fail the business if it systematically misses the rare, high-value cases (low recall), so metrics are always reviewed as a set, not in isolation, and interpreted against what a wrong prediction actually costs the business.</w:t>
      </w:r>
    </w:p>
    <w:p>
      <w:pPr>
        <w:pStyle w:val="Heading1"/>
        <w:pBdr>
          <w:bottom w:val="single" w:color="2E5597" w:sz="6" w:space="4"/>
        </w:pBdr>
        <w:spacing w:after="200" w:before="400"/>
      </w:pPr>
      <w:r>
        <w:rPr>
          <w:b/>
          <w:bCs/>
          <w:color w:val="1F3864"/>
          <w:sz w:val="30"/>
          <w:szCs w:val="30"/>
        </w:rPr>
        <w:t xml:space="preserve">4. From Quantitative Analysis to Business Recommendations</w:t>
      </w:r>
    </w:p>
    <w:p>
      <w:pPr>
        <w:spacing w:after="160" w:line="300"/>
        <w:jc w:val="both"/>
      </w:pPr>
      <w:r>
        <w:rPr>
          <w:sz w:val="22"/>
          <w:szCs w:val="22"/>
        </w:rPr>
        <w:t xml:space="preserve">Turning a metric into a recommendation requires an explicit translation step — numbers do not speak for themselves. This project follows a four-step synthesis process:</w:t>
      </w:r>
    </w:p>
    <w:p>
      <w:pPr>
        <w:spacing w:after="160" w:line="300"/>
        <w:jc w:val="both"/>
      </w:pPr>
      <w:r>
        <w:rPr>
          <w:b/>
          <w:bCs/>
          <w:color w:val="1F3864"/>
          <w:sz w:val="22"/>
          <w:szCs w:val="22"/>
        </w:rPr>
        <w:t xml:space="preserve">Step 1 — Isolate the signal: </w:t>
      </w:r>
      <w:r>
        <w:rPr>
          <w:sz w:val="22"/>
          <w:szCs w:val="22"/>
        </w:rPr>
        <w:t xml:space="preserve">identify which variables or patterns most influence the outcome (e.g., feature importance showing Mileage and Model Year as the strongest predictors of resale price).</w:t>
      </w:r>
    </w:p>
    <w:p>
      <w:pPr>
        <w:spacing w:after="160" w:line="300"/>
        <w:jc w:val="both"/>
      </w:pPr>
      <w:r>
        <w:rPr>
          <w:b/>
          <w:bCs/>
          <w:color w:val="1F3864"/>
          <w:sz w:val="22"/>
          <w:szCs w:val="22"/>
        </w:rPr>
        <w:t xml:space="preserve">Step 2 — Translate to plain language: </w:t>
      </w:r>
      <w:r>
        <w:rPr>
          <w:sz w:val="22"/>
          <w:szCs w:val="22"/>
        </w:rPr>
        <w:t xml:space="preserve">restate the statistical finding as a sentence a sales or operations manager would say out loud (“Cars lose value fastest in their first three years and after 80,000 km”).</w:t>
      </w:r>
    </w:p>
    <w:p>
      <w:pPr>
        <w:spacing w:after="160" w:line="300"/>
        <w:jc w:val="both"/>
      </w:pPr>
      <w:r>
        <w:rPr>
          <w:b/>
          <w:bCs/>
          <w:color w:val="1F3864"/>
          <w:sz w:val="22"/>
          <w:szCs w:val="22"/>
        </w:rPr>
        <w:t xml:space="preserve">Step 3 — Attach a decision: </w:t>
      </w:r>
      <w:r>
        <w:rPr>
          <w:sz w:val="22"/>
          <w:szCs w:val="22"/>
        </w:rPr>
        <w:t xml:space="preserve">ask “what would we do differently knowing this?” and write that action down explicitly, rather than leaving the finding as an observation.</w:t>
      </w:r>
    </w:p>
    <w:p>
      <w:pPr>
        <w:spacing w:after="160" w:line="300"/>
        <w:jc w:val="both"/>
      </w:pPr>
      <w:r>
        <w:rPr>
          <w:b/>
          <w:bCs/>
          <w:color w:val="1F3864"/>
          <w:sz w:val="22"/>
          <w:szCs w:val="22"/>
        </w:rPr>
        <w:t xml:space="preserve">Step 4 — Size the impact: </w:t>
      </w:r>
      <w:r>
        <w:rPr>
          <w:sz w:val="22"/>
          <w:szCs w:val="22"/>
        </w:rPr>
        <w:t xml:space="preserve">estimate, even roughly, the scale of benefit (time saved, revenue protected, risk reduced) so stakeholders can prioritize it against other initiatives.</w:t>
      </w:r>
    </w:p>
    <w:p>
      <w:pPr>
        <w:pStyle w:val="Heading2"/>
        <w:spacing w:after="140" w:before="280"/>
      </w:pPr>
      <w:r>
        <w:rPr>
          <w:b/>
          <w:bCs/>
          <w:color w:val="2E5597"/>
          <w:sz w:val="24"/>
          <w:szCs w:val="24"/>
        </w:rPr>
        <w:t xml:space="preserve">4.1 Worked Examples — Analysis to Action</w:t>
      </w:r>
    </w:p>
    <w:p>
      <w:pPr>
        <w:spacing w:after="160" w:line="300"/>
        <w:jc w:val="both"/>
      </w:pPr>
      <w:r>
        <w:rPr>
          <w:sz w:val="22"/>
          <w:szCs w:val="22"/>
        </w:rPr>
        <w:t xml:space="preserve">The table below applies this four-step process to four real outputs from the project's models and dashboards, showing the direct line from analytical finding to strategic decision.</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200"/>
        <w:gridCol w:w="3620"/>
        <w:gridCol w:w="3620"/>
      </w:tblGrid>
      <w:tr>
        <w:trPr>
          <w:tblHeader/>
        </w:trPr>
        <w:tc>
          <w:tcPr>
            <w:tcW w:type="dxa" w:w="2200"/>
            <w:shd w:fill="1F3864" w:val="clear"/>
            <w:tcMar>
              <w:top w:type="dxa" w:w="80"/>
              <w:left w:type="dxa" w:w="100"/>
              <w:bottom w:type="dxa" w:w="80"/>
              <w:right w:type="dxa" w:w="100"/>
            </w:tcMar>
          </w:tcPr>
          <w:p>
            <w:r>
              <w:rPr>
                <w:b/>
                <w:bCs/>
                <w:color w:val="FFFFFF"/>
                <w:sz w:val="20"/>
                <w:szCs w:val="20"/>
              </w:rPr>
              <w:t xml:space="preserve">Analytical Output</w:t>
            </w:r>
          </w:p>
        </w:tc>
        <w:tc>
          <w:tcPr>
            <w:tcW w:type="dxa" w:w="3620"/>
            <w:shd w:fill="1F3864" w:val="clear"/>
            <w:tcMar>
              <w:top w:type="dxa" w:w="80"/>
              <w:left w:type="dxa" w:w="100"/>
              <w:bottom w:type="dxa" w:w="80"/>
              <w:right w:type="dxa" w:w="100"/>
            </w:tcMar>
          </w:tcPr>
          <w:p>
            <w:r>
              <w:rPr>
                <w:b/>
                <w:bCs/>
                <w:color w:val="FFFFFF"/>
                <w:sz w:val="20"/>
                <w:szCs w:val="20"/>
              </w:rPr>
              <w:t xml:space="preserve">Business Question It Answers</w:t>
            </w:r>
          </w:p>
        </w:tc>
        <w:tc>
          <w:tcPr>
            <w:tcW w:type="dxa" w:w="3620"/>
            <w:shd w:fill="1F3864" w:val="clear"/>
            <w:tcMar>
              <w:top w:type="dxa" w:w="80"/>
              <w:left w:type="dxa" w:w="100"/>
              <w:bottom w:type="dxa" w:w="80"/>
              <w:right w:type="dxa" w:w="100"/>
            </w:tcMar>
          </w:tcPr>
          <w:p>
            <w:r>
              <w:rPr>
                <w:b/>
                <w:bCs/>
                <w:color w:val="FFFFFF"/>
                <w:sz w:val="20"/>
                <w:szCs w:val="20"/>
              </w:rPr>
              <w:t xml:space="preserve">Resulting Strategic Action</w:t>
            </w:r>
          </w:p>
        </w:tc>
      </w:tr>
      <w:tr>
        <w:tc>
          <w:tcPr>
            <w:tcW w:type="dxa" w:w="2200"/>
            <w:shd w:fill="DCE6F1" w:val="clear"/>
            <w:tcMar>
              <w:top w:type="dxa" w:w="80"/>
              <w:left w:type="dxa" w:w="100"/>
              <w:bottom w:type="dxa" w:w="80"/>
              <w:right w:type="dxa" w:w="100"/>
            </w:tcMar>
          </w:tcPr>
          <w:p>
            <w:r>
              <w:rPr>
                <w:b/>
                <w:bCs/>
                <w:color w:val="000000"/>
                <w:sz w:val="20"/>
                <w:szCs w:val="20"/>
              </w:rPr>
              <w:t xml:space="preserve">High feature importance on Mileage &amp; Model Year</w:t>
            </w:r>
          </w:p>
        </w:tc>
        <w:tc>
          <w:tcPr>
            <w:tcW w:type="dxa" w:w="3620"/>
            <w:tcMar>
              <w:top w:type="dxa" w:w="80"/>
              <w:left w:type="dxa" w:w="100"/>
              <w:bottom w:type="dxa" w:w="80"/>
              <w:right w:type="dxa" w:w="100"/>
            </w:tcMar>
          </w:tcPr>
          <w:p>
            <w:r>
              <w:rPr>
                <w:b w:val="false"/>
                <w:bCs w:val="false"/>
                <w:color w:val="000000"/>
                <w:sz w:val="20"/>
                <w:szCs w:val="20"/>
              </w:rPr>
              <w:t xml:space="preserve">Which car attributes drive resale value the most?</w:t>
            </w:r>
          </w:p>
        </w:tc>
        <w:tc>
          <w:tcPr>
            <w:tcW w:type="dxa" w:w="3620"/>
            <w:tcMar>
              <w:top w:type="dxa" w:w="80"/>
              <w:left w:type="dxa" w:w="100"/>
              <w:bottom w:type="dxa" w:w="80"/>
              <w:right w:type="dxa" w:w="100"/>
            </w:tcMar>
          </w:tcPr>
          <w:p>
            <w:r>
              <w:rPr>
                <w:b w:val="false"/>
                <w:bCs w:val="false"/>
                <w:color w:val="000000"/>
                <w:sz w:val="20"/>
                <w:szCs w:val="20"/>
              </w:rPr>
              <w:t xml:space="preserve">Weight valuation and acquisition sourcing toward low-mileage, newer-year vehicles; use this as a pricing-page filter.</w:t>
            </w:r>
          </w:p>
        </w:tc>
      </w:tr>
      <w:tr>
        <w:tc>
          <w:tcPr>
            <w:tcW w:type="dxa" w:w="2200"/>
            <w:shd w:fill="DCE6F1" w:val="clear"/>
            <w:tcMar>
              <w:top w:type="dxa" w:w="80"/>
              <w:left w:type="dxa" w:w="100"/>
              <w:bottom w:type="dxa" w:w="80"/>
              <w:right w:type="dxa" w:w="100"/>
            </w:tcMar>
          </w:tcPr>
          <w:p>
            <w:r>
              <w:rPr>
                <w:b/>
                <w:bCs/>
                <w:color w:val="000000"/>
                <w:sz w:val="20"/>
                <w:szCs w:val="20"/>
              </w:rPr>
              <w:t xml:space="preserve">Price distribution skew by Fuel Type (visual analytics)</w:t>
            </w:r>
          </w:p>
        </w:tc>
        <w:tc>
          <w:tcPr>
            <w:tcW w:type="dxa" w:w="3620"/>
            <w:tcMar>
              <w:top w:type="dxa" w:w="80"/>
              <w:left w:type="dxa" w:w="100"/>
              <w:bottom w:type="dxa" w:w="80"/>
              <w:right w:type="dxa" w:w="100"/>
            </w:tcMar>
          </w:tcPr>
          <w:p>
            <w:r>
              <w:rPr>
                <w:b w:val="false"/>
                <w:bCs w:val="false"/>
                <w:color w:val="000000"/>
                <w:sz w:val="20"/>
                <w:szCs w:val="20"/>
              </w:rPr>
              <w:t xml:space="preserve">Are certain fuel types systematically under- or over-priced relative to demand?</w:t>
            </w:r>
          </w:p>
        </w:tc>
        <w:tc>
          <w:tcPr>
            <w:tcW w:type="dxa" w:w="3620"/>
            <w:tcMar>
              <w:top w:type="dxa" w:w="80"/>
              <w:left w:type="dxa" w:w="100"/>
              <w:bottom w:type="dxa" w:w="80"/>
              <w:right w:type="dxa" w:w="100"/>
            </w:tcMar>
          </w:tcPr>
          <w:p>
            <w:r>
              <w:rPr>
                <w:b w:val="false"/>
                <w:bCs w:val="false"/>
                <w:color w:val="000000"/>
                <w:sz w:val="20"/>
                <w:szCs w:val="20"/>
              </w:rPr>
              <w:t xml:space="preserve">Adjust listing price guidance for hybrid/diesel segments; flag outliers for manual review.</w:t>
            </w:r>
          </w:p>
        </w:tc>
      </w:tr>
      <w:tr>
        <w:tc>
          <w:tcPr>
            <w:tcW w:type="dxa" w:w="2200"/>
            <w:shd w:fill="DCE6F1" w:val="clear"/>
            <w:tcMar>
              <w:top w:type="dxa" w:w="80"/>
              <w:left w:type="dxa" w:w="100"/>
              <w:bottom w:type="dxa" w:w="80"/>
              <w:right w:type="dxa" w:w="100"/>
            </w:tcMar>
          </w:tcPr>
          <w:p>
            <w:r>
              <w:rPr>
                <w:b/>
                <w:bCs/>
                <w:color w:val="000000"/>
                <w:sz w:val="20"/>
                <w:szCs w:val="20"/>
              </w:rPr>
              <w:t xml:space="preserve">Model residual clustering in luxury brand segment</w:t>
            </w:r>
          </w:p>
        </w:tc>
        <w:tc>
          <w:tcPr>
            <w:tcW w:type="dxa" w:w="3620"/>
            <w:tcMar>
              <w:top w:type="dxa" w:w="80"/>
              <w:left w:type="dxa" w:w="100"/>
              <w:bottom w:type="dxa" w:w="80"/>
              <w:right w:type="dxa" w:w="100"/>
            </w:tcMar>
          </w:tcPr>
          <w:p>
            <w:r>
              <w:rPr>
                <w:b w:val="false"/>
                <w:bCs w:val="false"/>
                <w:color w:val="000000"/>
                <w:sz w:val="20"/>
                <w:szCs w:val="20"/>
              </w:rPr>
              <w:t xml:space="preserve">Where is the model least reliable?</w:t>
            </w:r>
          </w:p>
        </w:tc>
        <w:tc>
          <w:tcPr>
            <w:tcW w:type="dxa" w:w="3620"/>
            <w:tcMar>
              <w:top w:type="dxa" w:w="80"/>
              <w:left w:type="dxa" w:w="100"/>
              <w:bottom w:type="dxa" w:w="80"/>
              <w:right w:type="dxa" w:w="100"/>
            </w:tcMar>
          </w:tcPr>
          <w:p>
            <w:r>
              <w:rPr>
                <w:b w:val="false"/>
                <w:bCs w:val="false"/>
                <w:color w:val="000000"/>
                <w:sz w:val="20"/>
                <w:szCs w:val="20"/>
              </w:rPr>
              <w:t xml:space="preserve">Route luxury-brand valuations to a specialist analyst rather than full automation; earmark for future model refinement.</w:t>
            </w:r>
          </w:p>
        </w:tc>
      </w:tr>
      <w:tr>
        <w:tc>
          <w:tcPr>
            <w:tcW w:type="dxa" w:w="2200"/>
            <w:shd w:fill="DCE6F1" w:val="clear"/>
            <w:tcMar>
              <w:top w:type="dxa" w:w="80"/>
              <w:left w:type="dxa" w:w="100"/>
              <w:bottom w:type="dxa" w:w="80"/>
              <w:right w:type="dxa" w:w="100"/>
            </w:tcMar>
          </w:tcPr>
          <w:p>
            <w:r>
              <w:rPr>
                <w:b/>
                <w:bCs/>
                <w:color w:val="000000"/>
                <w:sz w:val="20"/>
                <w:szCs w:val="20"/>
              </w:rPr>
              <w:t xml:space="preserve">Correlation between Auction Rating and final sale price</w:t>
            </w:r>
          </w:p>
        </w:tc>
        <w:tc>
          <w:tcPr>
            <w:tcW w:type="dxa" w:w="3620"/>
            <w:tcMar>
              <w:top w:type="dxa" w:w="80"/>
              <w:left w:type="dxa" w:w="100"/>
              <w:bottom w:type="dxa" w:w="80"/>
              <w:right w:type="dxa" w:w="100"/>
            </w:tcMar>
          </w:tcPr>
          <w:p>
            <w:r>
              <w:rPr>
                <w:b w:val="false"/>
                <w:bCs w:val="false"/>
                <w:color w:val="000000"/>
                <w:sz w:val="20"/>
                <w:szCs w:val="20"/>
              </w:rPr>
              <w:t xml:space="preserve">Does a low-cost, early signal (auction rating) predict outcome well?</w:t>
            </w:r>
          </w:p>
        </w:tc>
        <w:tc>
          <w:tcPr>
            <w:tcW w:type="dxa" w:w="3620"/>
            <w:tcMar>
              <w:top w:type="dxa" w:w="80"/>
              <w:left w:type="dxa" w:w="100"/>
              <w:bottom w:type="dxa" w:w="80"/>
              <w:right w:type="dxa" w:w="100"/>
            </w:tcMar>
          </w:tcPr>
          <w:p>
            <w:r>
              <w:rPr>
                <w:b w:val="false"/>
                <w:bCs w:val="false"/>
                <w:color w:val="000000"/>
                <w:sz w:val="20"/>
                <w:szCs w:val="20"/>
              </w:rPr>
              <w:t xml:space="preserve">Use auction rating as a fast triage filter before committing analyst time to full valuation.</w:t>
            </w:r>
          </w:p>
        </w:tc>
      </w:tr>
    </w:tbl>
    <w:p>
      <w:pPr>
        <w:pStyle w:val="Heading1"/>
        <w:pBdr>
          <w:bottom w:val="single" w:color="2E5597" w:sz="6" w:space="4"/>
        </w:pBdr>
        <w:spacing w:after="200" w:before="400"/>
      </w:pPr>
      <w:r>
        <w:rPr>
          <w:b/>
          <w:bCs/>
          <w:color w:val="1F3864"/>
          <w:sz w:val="30"/>
          <w:szCs w:val="30"/>
        </w:rPr>
        <w:t xml:space="preserve">5. Sample Executive Summary</w:t>
      </w:r>
    </w:p>
    <w:p>
      <w:pPr>
        <w:spacing w:after="160" w:line="300"/>
        <w:jc w:val="both"/>
      </w:pPr>
      <w:r>
        <w:rPr>
          <w:sz w:val="22"/>
          <w:szCs w:val="22"/>
        </w:rPr>
        <w:t xml:space="preserve">The excerpt below illustrates how the full technical evaluation is compressed into a one-page summary for stakeholders who need the conclusion and the action, not the methodology.</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9440"/>
      </w:tblGrid>
      <w:tr>
        <w:tc>
          <w:tcPr>
            <w:tcW w:type="dxa" w:w="9440"/>
            <w:tcBorders>
              <w:top w:val="single" w:color="2E5597" w:sz="4"/>
              <w:left w:val="single" w:color="2E5597" w:sz="24"/>
              <w:bottom w:val="single" w:color="2E5597" w:sz="4"/>
              <w:right w:val="single" w:color="2E5597" w:sz="4"/>
            </w:tcBorders>
            <w:shd w:fill="F2F6FB" w:val="clear"/>
            <w:tcMar>
              <w:top w:type="dxa" w:w="200"/>
              <w:left w:type="dxa" w:w="240"/>
              <w:bottom w:type="dxa" w:w="200"/>
              <w:right w:type="dxa" w:w="240"/>
            </w:tcMar>
          </w:tcPr>
          <w:p>
            <w:pPr>
              <w:spacing w:after="120"/>
            </w:pPr>
            <w:r>
              <w:rPr>
                <w:b/>
                <w:bCs/>
                <w:color w:val="1F3864"/>
                <w:sz w:val="24"/>
                <w:szCs w:val="24"/>
              </w:rPr>
              <w:t xml:space="preserve">EXECUTIVE SUMMARY</w:t>
            </w:r>
          </w:p>
          <w:p>
            <w:pPr>
              <w:spacing w:after="120"/>
            </w:pPr>
            <w:r>
              <w:rPr>
                <w:b/>
                <w:bCs/>
                <w:i/>
                <w:iCs/>
                <w:color w:val="2E5597"/>
                <w:sz w:val="20"/>
                <w:szCs w:val="20"/>
              </w:rPr>
              <w:t xml:space="preserve">Used-Car Price Intelligence Project — Q3 Review</w:t>
            </w:r>
          </w:p>
          <w:p>
            <w:pPr>
              <w:spacing w:after="140"/>
              <w:jc w:val="both"/>
            </w:pPr>
            <w:r>
              <w:rPr>
                <w:sz w:val="22"/>
                <w:szCs w:val="22"/>
              </w:rPr>
              <w:t xml:space="preserve">We built a pricing model and analytics dashboard to help the valuation team price used-car listings faster and more consistently. Tested against recent sales data, the model explains 87% of the variation in final sale price and, on average, lands within roughly ₹118,000 of the true price — accurate enough to use as the starting point for every valuation, cutting manual pricing research time significantly.</w:t>
            </w:r>
          </w:p>
          <w:p>
            <w:pPr>
              <w:spacing w:after="140"/>
              <w:jc w:val="both"/>
            </w:pPr>
            <w:r>
              <w:rPr>
                <w:sz w:val="22"/>
                <w:szCs w:val="22"/>
              </w:rPr>
              <w:t xml:space="preserve">Three findings stand out. First, </w:t>
            </w:r>
            <w:r>
              <w:rPr>
                <w:b/>
                <w:bCs/>
                <w:sz w:val="22"/>
                <w:szCs w:val="22"/>
              </w:rPr>
              <w:t xml:space="preserve">a car's age and mileage explain most of its price drop</w:t>
            </w:r>
            <w:r>
              <w:rPr>
                <w:sz w:val="22"/>
                <w:szCs w:val="22"/>
              </w:rPr>
              <w:t xml:space="preserve">, far more than brand alone — this should anchor our acquisition and pricing strategy. Second, </w:t>
            </w:r>
            <w:r>
              <w:rPr>
                <w:b/>
                <w:bCs/>
                <w:sz w:val="22"/>
                <w:szCs w:val="22"/>
              </w:rPr>
              <w:t xml:space="preserve">luxury-brand listings remain the model's weak spot</w:t>
            </w:r>
            <w:r>
              <w:rPr>
                <w:sz w:val="22"/>
                <w:szCs w:val="22"/>
              </w:rPr>
              <w:t xml:space="preserve">, so we recommend keeping a human reviewer on those valuations for now. Third, </w:t>
            </w:r>
            <w:r>
              <w:rPr>
                <w:b/>
                <w:bCs/>
                <w:sz w:val="22"/>
                <w:szCs w:val="22"/>
              </w:rPr>
              <w:t xml:space="preserve">auction rating is a fast, low-cost early signal</w:t>
            </w:r>
            <w:r>
              <w:rPr>
                <w:sz w:val="22"/>
                <w:szCs w:val="22"/>
              </w:rPr>
              <w:t xml:space="preserve"> that predicts final price well and can help the team triage which listings deserve a closer look first.</w:t>
            </w:r>
          </w:p>
          <w:p>
            <w:pPr>
              <w:spacing w:after="0"/>
              <w:jc w:val="both"/>
            </w:pPr>
            <w:r>
              <w:rPr>
                <w:i/>
                <w:iCs/>
                <w:sz w:val="22"/>
                <w:szCs w:val="22"/>
              </w:rPr>
              <w:t xml:space="preserve">Recommendation: approve the model for analyst-assisted use starting next quarter, with a lightweight training session for the dashboard and a quarterly refresh cycle to keep it accurate as the market moves. Full detail on methodology and metrics is available in Sections 2–4 of this report.</w:t>
            </w:r>
          </w:p>
        </w:tc>
      </w:tr>
    </w:tbl>
    <w:p>
      <w:pPr>
        <w:spacing w:after="0" w:before="240"/>
      </w:pPr>
    </w:p>
    <w:p>
      <w:pPr>
        <w:pStyle w:val="Heading2"/>
        <w:spacing w:after="140" w:before="280"/>
      </w:pPr>
      <w:r>
        <w:rPr>
          <w:b/>
          <w:bCs/>
          <w:color w:val="2E5597"/>
          <w:sz w:val="24"/>
          <w:szCs w:val="24"/>
        </w:rPr>
        <w:t xml:space="preserve">5.1 Supporting KPI Snapshot</w:t>
      </w:r>
    </w:p>
    <w:p>
      <w:pPr>
        <w:spacing w:after="160" w:line="300"/>
        <w:jc w:val="both"/>
      </w:pPr>
      <w:r>
        <w:rPr>
          <w:sz w:val="22"/>
          <w:szCs w:val="22"/>
        </w:rPr>
        <w:t xml:space="preserve">The figures referenced in the executive summary are drawn from the KPI snapshot below, which is the standard set of numbers this project reports on each cycle.</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000"/>
        <w:gridCol w:w="2440"/>
        <w:gridCol w:w="400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KPI</w:t>
            </w:r>
          </w:p>
        </w:tc>
        <w:tc>
          <w:tcPr>
            <w:tcW w:type="dxa" w:w="2440"/>
            <w:shd w:fill="1F3864" w:val="clear"/>
            <w:tcMar>
              <w:top w:type="dxa" w:w="80"/>
              <w:left w:type="dxa" w:w="100"/>
              <w:bottom w:type="dxa" w:w="80"/>
              <w:right w:type="dxa" w:w="100"/>
            </w:tcMar>
          </w:tcPr>
          <w:p>
            <w:r>
              <w:rPr>
                <w:b/>
                <w:bCs/>
                <w:color w:val="FFFFFF"/>
                <w:sz w:val="20"/>
                <w:szCs w:val="20"/>
              </w:rPr>
              <w:t xml:space="preserve">Current Value</w:t>
            </w:r>
          </w:p>
        </w:tc>
        <w:tc>
          <w:tcPr>
            <w:tcW w:type="dxa" w:w="4000"/>
            <w:shd w:fill="1F3864" w:val="clear"/>
            <w:tcMar>
              <w:top w:type="dxa" w:w="80"/>
              <w:left w:type="dxa" w:w="100"/>
              <w:bottom w:type="dxa" w:w="80"/>
              <w:right w:type="dxa" w:w="100"/>
            </w:tcMar>
          </w:tcPr>
          <w:p>
            <w:r>
              <w:rPr>
                <w:b/>
                <w:bCs/>
                <w:color w:val="FFFFFF"/>
                <w:sz w:val="20"/>
                <w:szCs w:val="20"/>
              </w:rPr>
              <w:t xml:space="preserve">Interpretation</w:t>
            </w:r>
          </w:p>
        </w:tc>
      </w:tr>
      <w:tr>
        <w:tc>
          <w:tcPr>
            <w:tcW w:type="dxa" w:w="3000"/>
            <w:shd w:fill="DCE6F1" w:val="clear"/>
            <w:tcMar>
              <w:top w:type="dxa" w:w="80"/>
              <w:left w:type="dxa" w:w="100"/>
              <w:bottom w:type="dxa" w:w="80"/>
              <w:right w:type="dxa" w:w="100"/>
            </w:tcMar>
          </w:tcPr>
          <w:p>
            <w:r>
              <w:rPr>
                <w:b/>
                <w:bCs/>
                <w:color w:val="000000"/>
                <w:sz w:val="20"/>
                <w:szCs w:val="20"/>
              </w:rPr>
              <w:t xml:space="preserve">Model R² (price prediction)</w:t>
            </w:r>
          </w:p>
        </w:tc>
        <w:tc>
          <w:tcPr>
            <w:tcW w:type="dxa" w:w="2440"/>
            <w:tcMar>
              <w:top w:type="dxa" w:w="80"/>
              <w:left w:type="dxa" w:w="100"/>
              <w:bottom w:type="dxa" w:w="80"/>
              <w:right w:type="dxa" w:w="100"/>
            </w:tcMar>
          </w:tcPr>
          <w:p>
            <w:r>
              <w:rPr>
                <w:b/>
                <w:bCs/>
                <w:color w:val="C00000"/>
                <w:sz w:val="20"/>
                <w:szCs w:val="20"/>
              </w:rPr>
              <w:t xml:space="preserve">0.87</w:t>
            </w:r>
          </w:p>
        </w:tc>
        <w:tc>
          <w:tcPr>
            <w:tcW w:type="dxa" w:w="4000"/>
            <w:tcMar>
              <w:top w:type="dxa" w:w="80"/>
              <w:left w:type="dxa" w:w="100"/>
              <w:bottom w:type="dxa" w:w="80"/>
              <w:right w:type="dxa" w:w="100"/>
            </w:tcMar>
          </w:tcPr>
          <w:p>
            <w:r>
              <w:rPr>
                <w:b w:val="false"/>
                <w:bCs w:val="false"/>
                <w:color w:val="000000"/>
                <w:sz w:val="20"/>
                <w:szCs w:val="20"/>
              </w:rPr>
              <w:t xml:space="preserve">The model explains 87% of the variation in resale price — strong enough for pricing guidance, not yet for fully automated quoting.</w:t>
            </w:r>
          </w:p>
        </w:tc>
      </w:tr>
      <w:tr>
        <w:tc>
          <w:tcPr>
            <w:tcW w:type="dxa" w:w="3000"/>
            <w:shd w:fill="DCE6F1" w:val="clear"/>
            <w:tcMar>
              <w:top w:type="dxa" w:w="80"/>
              <w:left w:type="dxa" w:w="100"/>
              <w:bottom w:type="dxa" w:w="80"/>
              <w:right w:type="dxa" w:w="100"/>
            </w:tcMar>
          </w:tcPr>
          <w:p>
            <w:r>
              <w:rPr>
                <w:b/>
                <w:bCs/>
                <w:color w:val="000000"/>
                <w:sz w:val="20"/>
                <w:szCs w:val="20"/>
              </w:rPr>
              <w:t xml:space="preserve">Mean Absolute Error</w:t>
            </w:r>
          </w:p>
        </w:tc>
        <w:tc>
          <w:tcPr>
            <w:tcW w:type="dxa" w:w="2440"/>
            <w:tcMar>
              <w:top w:type="dxa" w:w="80"/>
              <w:left w:type="dxa" w:w="100"/>
              <w:bottom w:type="dxa" w:w="80"/>
              <w:right w:type="dxa" w:w="100"/>
            </w:tcMar>
          </w:tcPr>
          <w:p>
            <w:r>
              <w:rPr>
                <w:b/>
                <w:bCs/>
                <w:color w:val="C00000"/>
                <w:sz w:val="20"/>
                <w:szCs w:val="20"/>
              </w:rPr>
              <w:t xml:space="preserve">₹ 118,000</w:t>
            </w:r>
          </w:p>
        </w:tc>
        <w:tc>
          <w:tcPr>
            <w:tcW w:type="dxa" w:w="4000"/>
            <w:tcMar>
              <w:top w:type="dxa" w:w="80"/>
              <w:left w:type="dxa" w:w="100"/>
              <w:bottom w:type="dxa" w:w="80"/>
              <w:right w:type="dxa" w:w="100"/>
            </w:tcMar>
          </w:tcPr>
          <w:p>
            <w:r>
              <w:rPr>
                <w:b w:val="false"/>
                <w:bCs w:val="false"/>
                <w:color w:val="000000"/>
                <w:sz w:val="20"/>
                <w:szCs w:val="20"/>
              </w:rPr>
              <w:t xml:space="preserve">On average, predictions land within this range of the true price — acceptable for a first-pass estimate tool.</w:t>
            </w:r>
          </w:p>
        </w:tc>
      </w:tr>
      <w:tr>
        <w:tc>
          <w:tcPr>
            <w:tcW w:type="dxa" w:w="3000"/>
            <w:shd w:fill="DCE6F1" w:val="clear"/>
            <w:tcMar>
              <w:top w:type="dxa" w:w="80"/>
              <w:left w:type="dxa" w:w="100"/>
              <w:bottom w:type="dxa" w:w="80"/>
              <w:right w:type="dxa" w:w="100"/>
            </w:tcMar>
          </w:tcPr>
          <w:p>
            <w:r>
              <w:rPr>
                <w:b/>
                <w:bCs/>
                <w:color w:val="000000"/>
                <w:sz w:val="20"/>
                <w:szCs w:val="20"/>
              </w:rPr>
              <w:t xml:space="preserve">Classification F1-Score (high-demand tag)</w:t>
            </w:r>
          </w:p>
        </w:tc>
        <w:tc>
          <w:tcPr>
            <w:tcW w:type="dxa" w:w="2440"/>
            <w:tcMar>
              <w:top w:type="dxa" w:w="80"/>
              <w:left w:type="dxa" w:w="100"/>
              <w:bottom w:type="dxa" w:w="80"/>
              <w:right w:type="dxa" w:w="100"/>
            </w:tcMar>
          </w:tcPr>
          <w:p>
            <w:r>
              <w:rPr>
                <w:b/>
                <w:bCs/>
                <w:color w:val="C00000"/>
                <w:sz w:val="20"/>
                <w:szCs w:val="20"/>
              </w:rPr>
              <w:t xml:space="preserve">0.81</w:t>
            </w:r>
          </w:p>
        </w:tc>
        <w:tc>
          <w:tcPr>
            <w:tcW w:type="dxa" w:w="4000"/>
            <w:tcMar>
              <w:top w:type="dxa" w:w="80"/>
              <w:left w:type="dxa" w:w="100"/>
              <w:bottom w:type="dxa" w:w="80"/>
              <w:right w:type="dxa" w:w="100"/>
            </w:tcMar>
          </w:tcPr>
          <w:p>
            <w:r>
              <w:rPr>
                <w:b w:val="false"/>
                <w:bCs w:val="false"/>
                <w:color w:val="000000"/>
                <w:sz w:val="20"/>
                <w:szCs w:val="20"/>
              </w:rPr>
              <w:t xml:space="preserve">Balanced reliability in flagging high-demand listings for the sales team.</w:t>
            </w:r>
          </w:p>
        </w:tc>
      </w:tr>
      <w:tr>
        <w:tc>
          <w:tcPr>
            <w:tcW w:type="dxa" w:w="3000"/>
            <w:shd w:fill="DCE6F1" w:val="clear"/>
            <w:tcMar>
              <w:top w:type="dxa" w:w="80"/>
              <w:left w:type="dxa" w:w="100"/>
              <w:bottom w:type="dxa" w:w="80"/>
              <w:right w:type="dxa" w:w="100"/>
            </w:tcMar>
          </w:tcPr>
          <w:p>
            <w:r>
              <w:rPr>
                <w:b/>
                <w:bCs/>
                <w:color w:val="000000"/>
                <w:sz w:val="20"/>
                <w:szCs w:val="20"/>
              </w:rPr>
              <w:t xml:space="preserve">Dashboard adoption (visual analytics)</w:t>
            </w:r>
          </w:p>
        </w:tc>
        <w:tc>
          <w:tcPr>
            <w:tcW w:type="dxa" w:w="2440"/>
            <w:tcMar>
              <w:top w:type="dxa" w:w="80"/>
              <w:left w:type="dxa" w:w="100"/>
              <w:bottom w:type="dxa" w:w="80"/>
              <w:right w:type="dxa" w:w="100"/>
            </w:tcMar>
          </w:tcPr>
          <w:p>
            <w:r>
              <w:rPr>
                <w:b/>
                <w:bCs/>
                <w:color w:val="C00000"/>
                <w:sz w:val="20"/>
                <w:szCs w:val="20"/>
              </w:rPr>
              <w:t xml:space="preserve">72% of analysts, weekly</w:t>
            </w:r>
          </w:p>
        </w:tc>
        <w:tc>
          <w:tcPr>
            <w:tcW w:type="dxa" w:w="4000"/>
            <w:tcMar>
              <w:top w:type="dxa" w:w="80"/>
              <w:left w:type="dxa" w:w="100"/>
              <w:bottom w:type="dxa" w:w="80"/>
              <w:right w:type="dxa" w:w="100"/>
            </w:tcMar>
          </w:tcPr>
          <w:p>
            <w:r>
              <w:rPr>
                <w:b w:val="false"/>
                <w:bCs w:val="false"/>
                <w:color w:val="000000"/>
                <w:sz w:val="20"/>
                <w:szCs w:val="20"/>
              </w:rPr>
              <w:t xml:space="preserve">Encouraging uptake, but almost a third of the team is not yet using the dashboard — a training gap.</w:t>
            </w:r>
          </w:p>
        </w:tc>
      </w:tr>
    </w:tbl>
    <w:p>
      <w:pPr>
        <w:pStyle w:val="Heading1"/>
        <w:pBdr>
          <w:bottom w:val="single" w:color="2E5597" w:sz="6" w:space="4"/>
        </w:pBdr>
        <w:spacing w:after="200" w:before="400"/>
      </w:pPr>
      <w:r>
        <w:rPr>
          <w:b/>
          <w:bCs/>
          <w:color w:val="1F3864"/>
          <w:sz w:val="30"/>
          <w:szCs w:val="30"/>
        </w:rPr>
        <w:t xml:space="preserve">6. Business Recommendations</w:t>
      </w:r>
    </w:p>
    <w:p>
      <w:pPr>
        <w:spacing w:after="160" w:line="300"/>
        <w:jc w:val="both"/>
      </w:pPr>
      <w:r>
        <w:rPr>
          <w:sz w:val="22"/>
          <w:szCs w:val="22"/>
        </w:rPr>
        <w:t xml:space="preserve">The recommendations below follow directly from the evaluation and synthesis work in Sections 3–5, ranked by expected impact and ease of implementation.</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2900"/>
        <w:gridCol w:w="1740"/>
      </w:tblGrid>
      <w:tr>
        <w:trPr>
          <w:tblHeader/>
        </w:trPr>
        <w:tc>
          <w:tcPr>
            <w:tcW w:type="dxa" w:w="900"/>
            <w:shd w:fill="1F3864" w:val="clear"/>
            <w:tcMar>
              <w:top w:type="dxa" w:w="80"/>
              <w:left w:type="dxa" w:w="100"/>
              <w:bottom w:type="dxa" w:w="80"/>
              <w:right w:type="dxa" w:w="100"/>
            </w:tcMar>
          </w:tcPr>
          <w:p>
            <w:r>
              <w:rPr>
                <w:b/>
                <w:bCs/>
                <w:color w:val="FFFFFF"/>
                <w:sz w:val="20"/>
                <w:szCs w:val="20"/>
              </w:rPr>
              <w:t xml:space="preserve">Priority</w:t>
            </w:r>
          </w:p>
        </w:tc>
        <w:tc>
          <w:tcPr>
            <w:tcW w:type="dxa" w:w="2900"/>
            <w:shd w:fill="1F3864" w:val="clear"/>
            <w:tcMar>
              <w:top w:type="dxa" w:w="80"/>
              <w:left w:type="dxa" w:w="100"/>
              <w:bottom w:type="dxa" w:w="80"/>
              <w:right w:type="dxa" w:w="100"/>
            </w:tcMar>
          </w:tcPr>
          <w:p>
            <w:r>
              <w:rPr>
                <w:b/>
                <w:bCs/>
                <w:color w:val="FFFFFF"/>
                <w:sz w:val="20"/>
                <w:szCs w:val="20"/>
              </w:rPr>
              <w:t xml:space="preserve">Recommendation</w:t>
            </w:r>
          </w:p>
        </w:tc>
        <w:tc>
          <w:tcPr>
            <w:tcW w:type="dxa" w:w="2900"/>
            <w:shd w:fill="1F3864" w:val="clear"/>
            <w:tcMar>
              <w:top w:type="dxa" w:w="80"/>
              <w:left w:type="dxa" w:w="100"/>
              <w:bottom w:type="dxa" w:w="80"/>
              <w:right w:type="dxa" w:w="100"/>
            </w:tcMar>
          </w:tcPr>
          <w:p>
            <w:r>
              <w:rPr>
                <w:b/>
                <w:bCs/>
                <w:color w:val="FFFFFF"/>
                <w:sz w:val="20"/>
                <w:szCs w:val="20"/>
              </w:rPr>
              <w:t xml:space="preserve">Expected Business Impact</w:t>
            </w:r>
          </w:p>
        </w:tc>
        <w:tc>
          <w:tcPr>
            <w:tcW w:type="dxa" w:w="1740"/>
            <w:shd w:fill="1F3864" w:val="clear"/>
            <w:tcMar>
              <w:top w:type="dxa" w:w="80"/>
              <w:left w:type="dxa" w:w="100"/>
              <w:bottom w:type="dxa" w:w="80"/>
              <w:right w:type="dxa" w:w="100"/>
            </w:tcMar>
          </w:tcPr>
          <w:p>
            <w:r>
              <w:rPr>
                <w:b/>
                <w:bCs/>
                <w:color w:val="FFFFFF"/>
                <w:sz w:val="20"/>
                <w:szCs w:val="20"/>
              </w:rPr>
              <w:t xml:space="preserve">Owner</w:t>
            </w:r>
          </w:p>
        </w:tc>
      </w:tr>
      <w:tr>
        <w:tc>
          <w:tcPr>
            <w:tcW w:type="dxa" w:w="900"/>
            <w:shd w:fill="DCE6F1" w:val="clear"/>
            <w:tcMar>
              <w:top w:type="dxa" w:w="80"/>
              <w:left w:type="dxa" w:w="100"/>
              <w:bottom w:type="dxa" w:w="80"/>
              <w:right w:type="dxa" w:w="100"/>
            </w:tcMar>
          </w:tcPr>
          <w:p>
            <w:r>
              <w:rPr>
                <w:b/>
                <w:bCs/>
                <w:color w:val="000000"/>
                <w:sz w:val="20"/>
                <w:szCs w:val="20"/>
              </w:rPr>
              <w:t xml:space="preserve">1</w:t>
            </w:r>
          </w:p>
        </w:tc>
        <w:tc>
          <w:tcPr>
            <w:tcW w:type="dxa" w:w="2900"/>
            <w:tcMar>
              <w:top w:type="dxa" w:w="80"/>
              <w:left w:type="dxa" w:w="100"/>
              <w:bottom w:type="dxa" w:w="80"/>
              <w:right w:type="dxa" w:w="100"/>
            </w:tcMar>
          </w:tcPr>
          <w:p>
            <w:r>
              <w:rPr>
                <w:b w:val="false"/>
                <w:bCs w:val="false"/>
                <w:color w:val="000000"/>
                <w:sz w:val="20"/>
                <w:szCs w:val="20"/>
              </w:rPr>
              <w:t xml:space="preserve">Adopt the pricing model as an analyst-facing guide, with human sign-off on luxury-brand listings.</w:t>
            </w:r>
          </w:p>
        </w:tc>
        <w:tc>
          <w:tcPr>
            <w:tcW w:type="dxa" w:w="2900"/>
            <w:tcMar>
              <w:top w:type="dxa" w:w="80"/>
              <w:left w:type="dxa" w:w="100"/>
              <w:bottom w:type="dxa" w:w="80"/>
              <w:right w:type="dxa" w:w="100"/>
            </w:tcMar>
          </w:tcPr>
          <w:p>
            <w:r>
              <w:rPr>
                <w:b w:val="false"/>
                <w:bCs w:val="false"/>
                <w:color w:val="000000"/>
                <w:sz w:val="20"/>
                <w:szCs w:val="20"/>
              </w:rPr>
              <w:t xml:space="preserve">Faster, more consistent valuations while containing risk in the segment where the model is weakest.</w:t>
            </w:r>
          </w:p>
        </w:tc>
        <w:tc>
          <w:tcPr>
            <w:tcW w:type="dxa" w:w="1740"/>
            <w:tcMar>
              <w:top w:type="dxa" w:w="80"/>
              <w:left w:type="dxa" w:w="100"/>
              <w:bottom w:type="dxa" w:w="80"/>
              <w:right w:type="dxa" w:w="100"/>
            </w:tcMar>
          </w:tcPr>
          <w:p>
            <w:r>
              <w:rPr>
                <w:b w:val="false"/>
                <w:bCs w:val="false"/>
                <w:color w:val="000000"/>
                <w:sz w:val="20"/>
                <w:szCs w:val="20"/>
              </w:rPr>
              <w:t xml:space="preserve">Pricing Team</w:t>
            </w:r>
          </w:p>
        </w:tc>
      </w:tr>
      <w:tr>
        <w:tc>
          <w:tcPr>
            <w:tcW w:type="dxa" w:w="900"/>
            <w:shd w:fill="DCE6F1" w:val="clear"/>
            <w:tcMar>
              <w:top w:type="dxa" w:w="80"/>
              <w:left w:type="dxa" w:w="100"/>
              <w:bottom w:type="dxa" w:w="80"/>
              <w:right w:type="dxa" w:w="100"/>
            </w:tcMar>
          </w:tcPr>
          <w:p>
            <w:r>
              <w:rPr>
                <w:b/>
                <w:bCs/>
                <w:color w:val="000000"/>
                <w:sz w:val="20"/>
                <w:szCs w:val="20"/>
              </w:rPr>
              <w:t xml:space="preserve">2</w:t>
            </w:r>
          </w:p>
        </w:tc>
        <w:tc>
          <w:tcPr>
            <w:tcW w:type="dxa" w:w="2900"/>
            <w:tcMar>
              <w:top w:type="dxa" w:w="80"/>
              <w:left w:type="dxa" w:w="100"/>
              <w:bottom w:type="dxa" w:w="80"/>
              <w:right w:type="dxa" w:w="100"/>
            </w:tcMar>
          </w:tcPr>
          <w:p>
            <w:r>
              <w:rPr>
                <w:b w:val="false"/>
                <w:bCs w:val="false"/>
                <w:color w:val="000000"/>
                <w:sz w:val="20"/>
                <w:szCs w:val="20"/>
              </w:rPr>
              <w:t xml:space="preserve">Retrain the model quarterly as new listings arrive, and monitor for drift in mileage/price relationships.</w:t>
            </w:r>
          </w:p>
        </w:tc>
        <w:tc>
          <w:tcPr>
            <w:tcW w:type="dxa" w:w="2900"/>
            <w:tcMar>
              <w:top w:type="dxa" w:w="80"/>
              <w:left w:type="dxa" w:w="100"/>
              <w:bottom w:type="dxa" w:w="80"/>
              <w:right w:type="dxa" w:w="100"/>
            </w:tcMar>
          </w:tcPr>
          <w:p>
            <w:r>
              <w:rPr>
                <w:b w:val="false"/>
                <w:bCs w:val="false"/>
                <w:color w:val="000000"/>
                <w:sz w:val="20"/>
                <w:szCs w:val="20"/>
              </w:rPr>
              <w:t xml:space="preserve">Keeps accuracy from degrading as the used-car market shifts.</w:t>
            </w:r>
          </w:p>
        </w:tc>
        <w:tc>
          <w:tcPr>
            <w:tcW w:type="dxa" w:w="1740"/>
            <w:tcMar>
              <w:top w:type="dxa" w:w="80"/>
              <w:left w:type="dxa" w:w="100"/>
              <w:bottom w:type="dxa" w:w="80"/>
              <w:right w:type="dxa" w:w="100"/>
            </w:tcMar>
          </w:tcPr>
          <w:p>
            <w:r>
              <w:rPr>
                <w:b w:val="false"/>
                <w:bCs w:val="false"/>
                <w:color w:val="000000"/>
                <w:sz w:val="20"/>
                <w:szCs w:val="20"/>
              </w:rPr>
              <w:t xml:space="preserve">Data Analytics</w:t>
            </w:r>
          </w:p>
        </w:tc>
      </w:tr>
      <w:tr>
        <w:tc>
          <w:tcPr>
            <w:tcW w:type="dxa" w:w="900"/>
            <w:shd w:fill="DCE6F1" w:val="clear"/>
            <w:tcMar>
              <w:top w:type="dxa" w:w="80"/>
              <w:left w:type="dxa" w:w="100"/>
              <w:bottom w:type="dxa" w:w="80"/>
              <w:right w:type="dxa" w:w="100"/>
            </w:tcMar>
          </w:tcPr>
          <w:p>
            <w:r>
              <w:rPr>
                <w:b/>
                <w:bCs/>
                <w:color w:val="000000"/>
                <w:sz w:val="20"/>
                <w:szCs w:val="20"/>
              </w:rPr>
              <w:t xml:space="preserve">3</w:t>
            </w:r>
          </w:p>
        </w:tc>
        <w:tc>
          <w:tcPr>
            <w:tcW w:type="dxa" w:w="2900"/>
            <w:tcMar>
              <w:top w:type="dxa" w:w="80"/>
              <w:left w:type="dxa" w:w="100"/>
              <w:bottom w:type="dxa" w:w="80"/>
              <w:right w:type="dxa" w:w="100"/>
            </w:tcMar>
          </w:tcPr>
          <w:p>
            <w:r>
              <w:rPr>
                <w:b w:val="false"/>
                <w:bCs w:val="false"/>
                <w:color w:val="000000"/>
                <w:sz w:val="20"/>
                <w:szCs w:val="20"/>
              </w:rPr>
              <w:t xml:space="preserve">Roll out short dashboard training to the 28% of analysts not yet using visual analytics tools.</w:t>
            </w:r>
          </w:p>
        </w:tc>
        <w:tc>
          <w:tcPr>
            <w:tcW w:type="dxa" w:w="2900"/>
            <w:tcMar>
              <w:top w:type="dxa" w:w="80"/>
              <w:left w:type="dxa" w:w="100"/>
              <w:bottom w:type="dxa" w:w="80"/>
              <w:right w:type="dxa" w:w="100"/>
            </w:tcMar>
          </w:tcPr>
          <w:p>
            <w:r>
              <w:rPr>
                <w:b w:val="false"/>
                <w:bCs w:val="false"/>
                <w:color w:val="000000"/>
                <w:sz w:val="20"/>
                <w:szCs w:val="20"/>
              </w:rPr>
              <w:t xml:space="preserve">Wider, faster adoption of data-informed decisions across the team.</w:t>
            </w:r>
          </w:p>
        </w:tc>
        <w:tc>
          <w:tcPr>
            <w:tcW w:type="dxa" w:w="1740"/>
            <w:tcMar>
              <w:top w:type="dxa" w:w="80"/>
              <w:left w:type="dxa" w:w="100"/>
              <w:bottom w:type="dxa" w:w="80"/>
              <w:right w:type="dxa" w:w="100"/>
            </w:tcMar>
          </w:tcPr>
          <w:p>
            <w:r>
              <w:rPr>
                <w:b w:val="false"/>
                <w:bCs w:val="false"/>
                <w:color w:val="000000"/>
                <w:sz w:val="20"/>
                <w:szCs w:val="20"/>
              </w:rPr>
              <w:t xml:space="preserve">Team Lead / L&amp;D</w:t>
            </w:r>
          </w:p>
        </w:tc>
      </w:tr>
      <w:tr>
        <w:tc>
          <w:tcPr>
            <w:tcW w:type="dxa" w:w="900"/>
            <w:shd w:fill="DCE6F1" w:val="clear"/>
            <w:tcMar>
              <w:top w:type="dxa" w:w="80"/>
              <w:left w:type="dxa" w:w="100"/>
              <w:bottom w:type="dxa" w:w="80"/>
              <w:right w:type="dxa" w:w="100"/>
            </w:tcMar>
          </w:tcPr>
          <w:p>
            <w:r>
              <w:rPr>
                <w:b/>
                <w:bCs/>
                <w:color w:val="000000"/>
                <w:sz w:val="20"/>
                <w:szCs w:val="20"/>
              </w:rPr>
              <w:t xml:space="preserve">4</w:t>
            </w:r>
          </w:p>
        </w:tc>
        <w:tc>
          <w:tcPr>
            <w:tcW w:type="dxa" w:w="2900"/>
            <w:tcMar>
              <w:top w:type="dxa" w:w="80"/>
              <w:left w:type="dxa" w:w="100"/>
              <w:bottom w:type="dxa" w:w="80"/>
              <w:right w:type="dxa" w:w="100"/>
            </w:tcMar>
          </w:tcPr>
          <w:p>
            <w:r>
              <w:rPr>
                <w:b w:val="false"/>
                <w:bCs w:val="false"/>
                <w:color w:val="000000"/>
                <w:sz w:val="20"/>
                <w:szCs w:val="20"/>
              </w:rPr>
              <w:t xml:space="preserve">Add an automated alert for listings whose predicted price deviates sharply from the asking price.</w:t>
            </w:r>
          </w:p>
        </w:tc>
        <w:tc>
          <w:tcPr>
            <w:tcW w:type="dxa" w:w="2900"/>
            <w:tcMar>
              <w:top w:type="dxa" w:w="80"/>
              <w:left w:type="dxa" w:w="100"/>
              <w:bottom w:type="dxa" w:w="80"/>
              <w:right w:type="dxa" w:w="100"/>
            </w:tcMar>
          </w:tcPr>
          <w:p>
            <w:r>
              <w:rPr>
                <w:b w:val="false"/>
                <w:bCs w:val="false"/>
                <w:color w:val="000000"/>
                <w:sz w:val="20"/>
                <w:szCs w:val="20"/>
              </w:rPr>
              <w:t xml:space="preserve">Surfaces mispriced or potentially fraudulent listings earlier.</w:t>
            </w:r>
          </w:p>
        </w:tc>
        <w:tc>
          <w:tcPr>
            <w:tcW w:type="dxa" w:w="1740"/>
            <w:tcMar>
              <w:top w:type="dxa" w:w="80"/>
              <w:left w:type="dxa" w:w="100"/>
              <w:bottom w:type="dxa" w:w="80"/>
              <w:right w:type="dxa" w:w="100"/>
            </w:tcMar>
          </w:tcPr>
          <w:p>
            <w:r>
              <w:rPr>
                <w:b w:val="false"/>
                <w:bCs w:val="false"/>
                <w:color w:val="000000"/>
                <w:sz w:val="20"/>
                <w:szCs w:val="20"/>
              </w:rPr>
              <w:t xml:space="preserve">Product / Engineering</w:t>
            </w:r>
          </w:p>
        </w:tc>
      </w:tr>
    </w:tbl>
    <w:p>
      <w:pPr>
        <w:pStyle w:val="Heading1"/>
        <w:pBdr>
          <w:bottom w:val="single" w:color="2E5597" w:sz="6" w:space="4"/>
        </w:pBdr>
        <w:spacing w:after="200" w:before="400"/>
      </w:pPr>
      <w:r>
        <w:rPr>
          <w:b/>
          <w:bCs/>
          <w:color w:val="1F3864"/>
          <w:sz w:val="30"/>
          <w:szCs w:val="30"/>
        </w:rPr>
        <w:t xml:space="preserve">7. Reporting Guidelines and Best Practices</w:t>
      </w:r>
    </w:p>
    <w:p>
      <w:pPr>
        <w:spacing w:after="160" w:line="300"/>
        <w:jc w:val="both"/>
      </w:pPr>
      <w:r>
        <w:rPr>
          <w:sz w:val="22"/>
          <w:szCs w:val="22"/>
        </w:rPr>
        <w:t xml:space="preserve">A technically sound model still fails to influence decisions if the report around it is unclear. The following practices govern how this team writes and presents analytics findings.</w:t>
      </w:r>
    </w:p>
    <w:p>
      <w:pPr>
        <w:pStyle w:val="Heading2"/>
        <w:spacing w:after="140" w:before="280"/>
      </w:pPr>
      <w:r>
        <w:rPr>
          <w:b/>
          <w:bCs/>
          <w:color w:val="2E5597"/>
          <w:sz w:val="24"/>
          <w:szCs w:val="24"/>
        </w:rPr>
        <w:t xml:space="preserve">7.1 Structure for the Reader, Not the Analysis</w:t>
      </w:r>
    </w:p>
    <w:p>
      <w:pPr>
        <w:pStyle w:val="ListParagraph"/>
        <w:numPr>
          <w:ilvl w:val="0"/>
          <w:numId w:val="2"/>
        </w:numPr>
        <w:spacing w:after="100" w:line="280"/>
      </w:pPr>
      <w:r>
        <w:rPr>
          <w:sz w:val="22"/>
          <w:szCs w:val="22"/>
        </w:rPr>
        <w:t xml:space="preserve">Lead with the conclusion and recommendation; put methodology and metric detail after it, not before — stakeholders should never have to read past the first paragraph to know what to do.</w:t>
      </w:r>
    </w:p>
    <w:p>
      <w:pPr>
        <w:pStyle w:val="ListParagraph"/>
        <w:numPr>
          <w:ilvl w:val="0"/>
          <w:numId w:val="2"/>
        </w:numPr>
        <w:spacing w:after="100" w:line="280"/>
      </w:pPr>
      <w:r>
        <w:rPr>
          <w:sz w:val="22"/>
          <w:szCs w:val="22"/>
        </w:rPr>
        <w:t xml:space="preserve">Use one idea per paragraph and one message per chart; a chart trying to show five things shows nothing clearly.</w:t>
      </w:r>
    </w:p>
    <w:p>
      <w:pPr>
        <w:pStyle w:val="ListParagraph"/>
        <w:numPr>
          <w:ilvl w:val="0"/>
          <w:numId w:val="2"/>
        </w:numPr>
        <w:spacing w:after="100" w:line="280"/>
      </w:pPr>
      <w:r>
        <w:rPr>
          <w:sz w:val="22"/>
          <w:szCs w:val="22"/>
        </w:rPr>
        <w:t xml:space="preserve">Match the level of detail to the audience: an executive summary, a mid-length findings section for managers, and a technical appendix for other analysts, in that order.</w:t>
      </w:r>
    </w:p>
    <w:p>
      <w:pPr>
        <w:pStyle w:val="Heading2"/>
        <w:spacing w:after="140" w:before="280"/>
      </w:pPr>
      <w:r>
        <w:rPr>
          <w:b/>
          <w:bCs/>
          <w:color w:val="2E5597"/>
          <w:sz w:val="24"/>
          <w:szCs w:val="24"/>
        </w:rPr>
        <w:t xml:space="preserve">7.2 Make Numbers Concrete</w:t>
      </w:r>
    </w:p>
    <w:p>
      <w:pPr>
        <w:pStyle w:val="ListParagraph"/>
        <w:numPr>
          <w:ilvl w:val="0"/>
          <w:numId w:val="2"/>
        </w:numPr>
        <w:spacing w:after="100" w:line="280"/>
      </w:pPr>
      <w:r>
        <w:rPr>
          <w:sz w:val="22"/>
          <w:szCs w:val="22"/>
        </w:rPr>
        <w:t xml:space="preserve">Translate statistical outputs into business units — currency, hours, percentage of listings — rather than leaving them as raw coefficients or scores.</w:t>
      </w:r>
    </w:p>
    <w:p>
      <w:pPr>
        <w:pStyle w:val="ListParagraph"/>
        <w:numPr>
          <w:ilvl w:val="0"/>
          <w:numId w:val="2"/>
        </w:numPr>
        <w:spacing w:after="100" w:line="280"/>
      </w:pPr>
      <w:r>
        <w:rPr>
          <w:sz w:val="22"/>
          <w:szCs w:val="22"/>
        </w:rPr>
        <w:t xml:space="preserve">Always give a comparison point (versus last quarter, versus a baseline, versus the target) so a number has meaning on its own.</w:t>
      </w:r>
    </w:p>
    <w:p>
      <w:pPr>
        <w:pStyle w:val="ListParagraph"/>
        <w:numPr>
          <w:ilvl w:val="0"/>
          <w:numId w:val="2"/>
        </w:numPr>
        <w:spacing w:after="100" w:line="280"/>
      </w:pPr>
      <w:r>
        <w:rPr>
          <w:sz w:val="22"/>
          <w:szCs w:val="22"/>
        </w:rPr>
        <w:t xml:space="preserve">State uncertainty honestly — an error margin or confidence range — rather than presenting a single number as exact.</w:t>
      </w:r>
    </w:p>
    <w:p>
      <w:pPr>
        <w:pStyle w:val="Heading2"/>
        <w:spacing w:after="140" w:before="280"/>
      </w:pPr>
      <w:r>
        <w:rPr>
          <w:b/>
          <w:bCs/>
          <w:color w:val="2E5597"/>
          <w:sz w:val="24"/>
          <w:szCs w:val="24"/>
        </w:rPr>
        <w:t xml:space="preserve">7.3 Visual Analytics Best Practices</w:t>
      </w:r>
    </w:p>
    <w:p>
      <w:pPr>
        <w:pStyle w:val="ListParagraph"/>
        <w:numPr>
          <w:ilvl w:val="0"/>
          <w:numId w:val="2"/>
        </w:numPr>
        <w:spacing w:after="100" w:line="280"/>
      </w:pPr>
      <w:r>
        <w:rPr>
          <w:sz w:val="22"/>
          <w:szCs w:val="22"/>
        </w:rPr>
        <w:t xml:space="preserve">Choose the chart type for the comparison being made: trends over time as line charts, category comparisons as bar charts, and relationships between two variables as scatter plots — avoid pie charts for more than four categories.</w:t>
      </w:r>
    </w:p>
    <w:p>
      <w:pPr>
        <w:pStyle w:val="ListParagraph"/>
        <w:numPr>
          <w:ilvl w:val="0"/>
          <w:numId w:val="2"/>
        </w:numPr>
        <w:spacing w:after="100" w:line="280"/>
      </w:pPr>
      <w:r>
        <w:rPr>
          <w:sz w:val="22"/>
          <w:szCs w:val="22"/>
        </w:rPr>
        <w:t xml:space="preserve">Label axes and data points directly where possible instead of relying on a separate legend the reader has to cross-reference.</w:t>
      </w:r>
    </w:p>
    <w:p>
      <w:pPr>
        <w:pStyle w:val="ListParagraph"/>
        <w:numPr>
          <w:ilvl w:val="0"/>
          <w:numId w:val="2"/>
        </w:numPr>
        <w:spacing w:after="100" w:line="280"/>
      </w:pPr>
      <w:r>
        <w:rPr>
          <w:sz w:val="22"/>
          <w:szCs w:val="22"/>
        </w:rPr>
        <w:t xml:space="preserve">Keep a consistent color and formatting convention across every report so returning readers can orient themselves instantly.</w:t>
      </w:r>
    </w:p>
    <w:p>
      <w:pPr>
        <w:pStyle w:val="Heading2"/>
        <w:spacing w:after="140" w:before="280"/>
      </w:pPr>
      <w:r>
        <w:rPr>
          <w:b/>
          <w:bCs/>
          <w:color w:val="2E5597"/>
          <w:sz w:val="24"/>
          <w:szCs w:val="24"/>
        </w:rPr>
        <w:t xml:space="preserve">7.4 Close the Loop</w:t>
      </w:r>
    </w:p>
    <w:p>
      <w:pPr>
        <w:pStyle w:val="ListParagraph"/>
        <w:numPr>
          <w:ilvl w:val="0"/>
          <w:numId w:val="2"/>
        </w:numPr>
        <w:spacing w:after="100" w:line="280"/>
      </w:pPr>
      <w:r>
        <w:rPr>
          <w:sz w:val="22"/>
          <w:szCs w:val="22"/>
        </w:rPr>
        <w:t xml:space="preserve">End every report with explicit next steps, an owner, and a timeframe — findings without an owner tend not to get acted on.</w:t>
      </w:r>
    </w:p>
    <w:p>
      <w:pPr>
        <w:pStyle w:val="ListParagraph"/>
        <w:numPr>
          <w:ilvl w:val="0"/>
          <w:numId w:val="2"/>
        </w:numPr>
        <w:spacing w:after="100" w:line="280"/>
      </w:pPr>
      <w:r>
        <w:rPr>
          <w:sz w:val="22"/>
          <w:szCs w:val="22"/>
        </w:rPr>
        <w:t xml:space="preserve">Revisit and re-report the same KPIs on a fixed cadence (Section 5.1) so stakeholders can track whether a recommendation actually moved the number.</w:t>
      </w:r>
    </w:p>
    <w:p>
      <w:pPr>
        <w:pStyle w:val="ListParagraph"/>
        <w:numPr>
          <w:ilvl w:val="0"/>
          <w:numId w:val="2"/>
        </w:numPr>
        <w:spacing w:after="100" w:line="280"/>
      </w:pPr>
      <w:r>
        <w:rPr>
          <w:sz w:val="22"/>
          <w:szCs w:val="22"/>
        </w:rPr>
        <w:t xml:space="preserve">Collect feedback from report recipients on what was unclear, and fold that into the next cycle's format — reporting quality compounds over iterations.</w:t>
      </w:r>
    </w:p>
    <w:p>
      <w:pPr>
        <w:pStyle w:val="Heading1"/>
        <w:pBdr>
          <w:bottom w:val="single" w:color="2E5597" w:sz="6" w:space="4"/>
        </w:pBdr>
        <w:spacing w:after="200" w:before="400"/>
      </w:pPr>
      <w:r>
        <w:rPr>
          <w:b/>
          <w:bCs/>
          <w:color w:val="1F3864"/>
          <w:sz w:val="30"/>
          <w:szCs w:val="30"/>
        </w:rPr>
        <w:t xml:space="preserve">8. Conclusion</w:t>
      </w:r>
    </w:p>
    <w:p>
      <w:pPr>
        <w:spacing w:after="160" w:line="300"/>
        <w:jc w:val="both"/>
      </w:pPr>
      <w:r>
        <w:rPr>
          <w:sz w:val="22"/>
          <w:szCs w:val="22"/>
        </w:rPr>
        <w:t xml:space="preserve">Evaluation and reporting are not a final, separate step tacked onto a data analytics project — they are what make the modeling and visualization work usable. This framework ties statistical rigor (Sections 2–3) to business language (Sections 4–6) to disciplined communication habits (Section 7), giving stakeholders a report they can act on and giving the analytics team a repeatable process for the next project cycle.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Predictive Analytics — Evaluation &amp; Business Reporting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2026-09-22T17:34:24.092Z</dcterms:created>
  <dcterms:modified xsi:type="dcterms:W3CDTF">2026-09-22T17:34:24.104Z</dcterms:modified>
</cp:coreProperties>
</file>

<file path=docProps/custom.xml><?xml version="1.0" encoding="utf-8"?>
<Properties xmlns="http://schemas.openxmlformats.org/officeDocument/2006/custom-properties" xmlns:vt="http://schemas.openxmlformats.org/officeDocument/2006/docPropsVTypes"/>
</file>