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Advanced Analytics Techniques and Time-Series Analysis</w:t>
      </w:r>
    </w:p>
    <w:p>
      <w:pPr>
        <w:spacing w:after="60"/>
        <w:jc w:val="center"/>
      </w:pPr>
      <w:r>
        <w:rPr>
          <w:i/>
          <w:iCs/>
          <w:color w:val="595959"/>
          <w:sz w:val="24"/>
          <w:szCs w:val="24"/>
        </w:rPr>
        <w:t xml:space="preserve">Turning Raw Data Into Forward-Looking Business Decisions</w:t>
      </w:r>
    </w:p>
    <w:p>
      <w:pPr>
        <w:pBdr>
          <w:bottom w:val="single" w:color="1F4E79" w:sz="12" w:space="8"/>
        </w:pBdr>
        <w:spacing w:after="300"/>
        <w:jc w:val="center"/>
      </w:pPr>
      <w:r>
        <w:rPr>
          <w:color w:val="595959"/>
          <w:sz w:val="20"/>
          <w:szCs w:val="20"/>
        </w:rPr>
        <w:t xml:space="preserve">Week 5 Task | Data Analytics Program</w:t>
      </w:r>
    </w:p>
    <w:p>
      <w:pPr>
        <w:pStyle w:val="Heading1"/>
        <w:pBdr>
          <w:bottom w:val="single" w:color="1F4E79" w:sz="6" w:space="4"/>
        </w:pBdr>
        <w:spacing w:after="160" w:before="360"/>
      </w:pPr>
      <w:r>
        <w:rPr>
          <w:b/>
          <w:bCs/>
          <w:color w:val="1F4E79"/>
          <w:sz w:val="30"/>
          <w:szCs w:val="30"/>
        </w:rPr>
        <w:t xml:space="preserve">1. Introduction</w:t>
      </w:r>
    </w:p>
    <w:p>
      <w:pPr>
        <w:spacing w:after="160" w:line="300"/>
        <w:jc w:val="both"/>
      </w:pPr>
      <w:r>
        <w:rPr>
          <w:sz w:val="22"/>
          <w:szCs w:val="22"/>
        </w:rPr>
        <w:t xml:space="preserve">Every organization sits on top of a growing pile of transactional, operational and customer data, but data on its own does not make decisions — it only informs them once it has been interpreted correctly. Advanced analytics is the discipline that closes that gap. Where basic reporting tells a business what happened last month, advanced analytics tells it why it happened, whether the pattern will repeat, and what to do about it next. This is where advanced analytics earns its keep: it converts historical noise into forward-looking signal.</w:t>
      </w:r>
    </w:p>
    <w:p>
      <w:pPr>
        <w:spacing w:after="160" w:line="300"/>
        <w:jc w:val="both"/>
      </w:pPr>
      <w:r>
        <w:rPr>
          <w:sz w:val="22"/>
          <w:szCs w:val="22"/>
        </w:rPr>
        <w:t xml:space="preserve">Among the many advanced analytics techniques available today, time-series analysis deserves special attention because so much of what businesses care about — sales, web traffic, machine sensor readings, customer churn, stock levels — unfolds over time. A single number, such as "revenue was $2 million this quarter," says very little in isolation. The same number becomes powerful once it is placed on a timeline alongside last year's figures, the seasonal pattern of the industry, and a projection for the next two quarters. That transformation — from an isolated fact to a decision-ready insight — is exactly what this document sets out to explain.</w:t>
      </w:r>
    </w:p>
    <w:p>
      <w:pPr>
        <w:spacing w:after="160" w:line="300"/>
        <w:jc w:val="both"/>
      </w:pPr>
      <w:r>
        <w:rPr>
          <w:sz w:val="22"/>
          <w:szCs w:val="22"/>
        </w:rPr>
        <w:t xml:space="preserve">This document walks through the structure and challenges of time-series data, the Python ecosystem that makes time-series work practical at scale, a step-by-step process for running an analysis from raw data to validated forecast, and finally the business implications of doing this well. The intent is to give a reader who is comfortable with data, but new to time-series methods, a working mental model they can apply immediately.</w:t>
      </w:r>
    </w:p>
    <w:p>
      <w:pPr>
        <w:pStyle w:val="Heading1"/>
        <w:pBdr>
          <w:bottom w:val="single" w:color="1F4E79" w:sz="6" w:space="4"/>
        </w:pBdr>
        <w:spacing w:after="160" w:before="360"/>
      </w:pPr>
      <w:r>
        <w:rPr>
          <w:b/>
          <w:bCs/>
          <w:color w:val="1F4E79"/>
          <w:sz w:val="30"/>
          <w:szCs w:val="30"/>
        </w:rPr>
        <w:t xml:space="preserve">2. Time-Series Analysis</w:t>
      </w:r>
    </w:p>
    <w:p>
      <w:pPr>
        <w:pStyle w:val="Heading2"/>
        <w:spacing w:after="120" w:before="260"/>
      </w:pPr>
      <w:r>
        <w:rPr>
          <w:b/>
          <w:bCs/>
          <w:color w:val="1F4E79"/>
          <w:sz w:val="24"/>
          <w:szCs w:val="24"/>
        </w:rPr>
        <w:t xml:space="preserve">2.1 What Makes Time-Series Data Different</w:t>
      </w:r>
    </w:p>
    <w:p>
      <w:pPr>
        <w:spacing w:after="160" w:line="300"/>
        <w:jc w:val="both"/>
      </w:pPr>
      <w:r>
        <w:rPr>
          <w:sz w:val="22"/>
          <w:szCs w:val="22"/>
        </w:rPr>
        <w:t xml:space="preserve">A time series is simply a sequence of observations recorded at successive, usually equally spaced, points in time — daily sales figures, hourly server load, monthly customer sign-ups. What sets this kind of data apart from a typical spreadsheet of independent records is that order matters. Shuffle the rows of a customer database and nothing is lost; shuffle the rows of a time series and the entire signal disappears, because each observation is implicitly related to the ones before and after it.</w:t>
      </w:r>
    </w:p>
    <w:p>
      <w:pPr>
        <w:spacing w:after="160" w:line="300"/>
        <w:jc w:val="both"/>
      </w:pPr>
      <w:r>
        <w:rPr>
          <w:sz w:val="22"/>
          <w:szCs w:val="22"/>
        </w:rPr>
        <w:t xml:space="preserve">That dependency is also what makes time-series data difficult to work with. A few recurring challenges show up in almost every real-world dataset:</w:t>
      </w:r>
    </w:p>
    <w:p>
      <w:pPr>
        <w:pStyle w:val="ListParagraph"/>
        <w:numPr>
          <w:ilvl w:val="0"/>
          <w:numId w:val="2"/>
        </w:numPr>
        <w:spacing w:after="100" w:line="280"/>
      </w:pPr>
      <w:r>
        <w:rPr>
          <w:sz w:val="22"/>
          <w:szCs w:val="22"/>
        </w:rPr>
        <w:t xml:space="preserve">Trend: a long-term upward or downward movement that can mask short-term fluctuations if not separated out.</w:t>
      </w:r>
    </w:p>
    <w:p>
      <w:pPr>
        <w:pStyle w:val="ListParagraph"/>
        <w:numPr>
          <w:ilvl w:val="0"/>
          <w:numId w:val="2"/>
        </w:numPr>
        <w:spacing w:after="100" w:line="280"/>
      </w:pPr>
      <w:r>
        <w:rPr>
          <w:sz w:val="22"/>
          <w:szCs w:val="22"/>
        </w:rPr>
        <w:t xml:space="preserve">Seasonality: predictable, repeating cycles tied to the calendar — a retailer's holiday spike or a utility's summer demand surge.</w:t>
      </w:r>
    </w:p>
    <w:p>
      <w:pPr>
        <w:pStyle w:val="ListParagraph"/>
        <w:numPr>
          <w:ilvl w:val="0"/>
          <w:numId w:val="2"/>
        </w:numPr>
        <w:spacing w:after="100" w:line="280"/>
      </w:pPr>
      <w:r>
        <w:rPr>
          <w:sz w:val="22"/>
          <w:szCs w:val="22"/>
        </w:rPr>
        <w:t xml:space="preserve">Irregular or missing timestamps: sensors go offline, stores close on holidays, and systems occasionally double-log or drop records.</w:t>
      </w:r>
    </w:p>
    <w:p>
      <w:pPr>
        <w:pStyle w:val="ListParagraph"/>
        <w:numPr>
          <w:ilvl w:val="0"/>
          <w:numId w:val="2"/>
        </w:numPr>
        <w:spacing w:after="100" w:line="280"/>
      </w:pPr>
      <w:r>
        <w:rPr>
          <w:sz w:val="22"/>
          <w:szCs w:val="22"/>
        </w:rPr>
        <w:t xml:space="preserve">Autocorrelation: today's value is statistically related to yesterday's, which violates the independence assumption behind many standard statistical tests and models.</w:t>
      </w:r>
    </w:p>
    <w:p>
      <w:pPr>
        <w:pStyle w:val="ListParagraph"/>
        <w:numPr>
          <w:ilvl w:val="0"/>
          <w:numId w:val="2"/>
        </w:numPr>
        <w:spacing w:after="100" w:line="280"/>
      </w:pPr>
      <w:r>
        <w:rPr>
          <w:sz w:val="22"/>
          <w:szCs w:val="22"/>
        </w:rPr>
        <w:t xml:space="preserve">Structural breaks and anomalies: a pandemic, a pricing change or a system outage can shift the pattern abruptly, and a model trained on "normal" history will misread the new regime.</w:t>
      </w:r>
    </w:p>
    <w:p>
      <w:pPr>
        <w:spacing w:after="160" w:line="300"/>
        <w:jc w:val="both"/>
      </w:pPr>
      <w:r>
        <w:rPr>
          <w:sz w:val="22"/>
          <w:szCs w:val="22"/>
        </w:rPr>
        <w:t xml:space="preserve">Recognizing these properties up front is what separates a naive analysis, which simply fits a line through the data, from a credible one that first understands the shape of the series it is dealing with.</w:t>
      </w:r>
    </w:p>
    <w:p>
      <w:pPr>
        <w:pStyle w:val="Heading2"/>
        <w:spacing w:after="120" w:before="260"/>
      </w:pPr>
      <w:r>
        <w:rPr>
          <w:b/>
          <w:bCs/>
          <w:color w:val="1F4E79"/>
          <w:sz w:val="24"/>
          <w:szCs w:val="24"/>
        </w:rPr>
        <w:t xml:space="preserve">2.2 Detecting Trend and Seasonality</w:t>
      </w:r>
    </w:p>
    <w:p>
      <w:pPr>
        <w:spacing w:after="160" w:line="300"/>
        <w:jc w:val="both"/>
      </w:pPr>
      <w:r>
        <w:rPr>
          <w:sz w:val="22"/>
          <w:szCs w:val="22"/>
        </w:rPr>
        <w:t xml:space="preserve">The most common first step is decomposition: splitting a series into a trend component, a seasonal component and a residual (or "noise") component. Classical decomposition and the more flexible STL (Seasonal-Trend decomposition using LOESS) method both do this, and the payoff is immediate — a chart that once looked like a jagged, confusing line becomes three much simpler, much more interpretable charts.</w:t>
      </w:r>
    </w:p>
    <w:p>
      <w:pPr>
        <w:spacing w:after="160" w:line="300"/>
        <w:jc w:val="both"/>
      </w:pPr>
      <w:r>
        <w:rPr>
          <w:sz w:val="22"/>
          <w:szCs w:val="22"/>
        </w:rPr>
        <w:t xml:space="preserve">Trend is typically extracted using a moving average or a low-order polynomial fit, which smooths out short-term noise so the underlying direction becomes visible. Seasonality is detected by looking for repeating patterns at fixed intervals — autocorrelation plots and seasonal subseries plots are the standard diagnostic tools here, and a strong spike in the autocorrelation function at, say, lag 12 for monthly data is a clear fingerprint of an annual cycle.</w:t>
      </w:r>
    </w:p>
    <w:p>
      <w:pPr>
        <w:spacing w:after="160" w:line="300"/>
        <w:jc w:val="both"/>
      </w:pPr>
      <w:r>
        <w:rPr>
          <w:sz w:val="22"/>
          <w:szCs w:val="22"/>
        </w:rPr>
        <w:t xml:space="preserve">Anomaly detection sits alongside trend and seasonality work rather than replacing it. Once the expected trend and seasonal pattern are known, an anomaly is anything that deviates from that expectation by more than a defined threshold — commonly a multiple of the residual's standard deviation, or a statistical control limit borrowed from manufacturing quality control. This matters commercially because an anomaly is rarely just statistical noise; it is usually the fingerprint of a real event — a fraud pattern, a supply-chain disruption, a viral marketing moment — that deserves a human look.</w:t>
      </w:r>
    </w:p>
    <w:p>
      <w:pPr>
        <w:pStyle w:val="Heading1"/>
        <w:pBdr>
          <w:bottom w:val="single" w:color="1F4E79" w:sz="6" w:space="4"/>
        </w:pBdr>
        <w:spacing w:after="160" w:before="360"/>
      </w:pPr>
      <w:r>
        <w:rPr>
          <w:b/>
          <w:bCs/>
          <w:color w:val="1F4E79"/>
          <w:sz w:val="30"/>
          <w:szCs w:val="30"/>
        </w:rPr>
        <w:t xml:space="preserve">3. Python Tools for Time-Series Work</w:t>
      </w:r>
    </w:p>
    <w:p>
      <w:pPr>
        <w:spacing w:after="160" w:line="300"/>
        <w:jc w:val="both"/>
      </w:pPr>
      <w:r>
        <w:rPr>
          <w:sz w:val="22"/>
          <w:szCs w:val="22"/>
        </w:rPr>
        <w:t xml:space="preserve">Python has become the default language for time-series analytics because its ecosystem covers the entire workflow, from ingesting messy CSV exports to publishing an interactive forecast dashboard, without switching languages. The table below summarizes the libraries referenced throughout this document.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00"/>
      </w:tblGrid>
      <w:tr>
        <w:trPr>
          <w:tblHeader/>
        </w:trPr>
        <w:tc>
          <w:tcPr>
            <w:tcW w:type="dxa" w:w="1900"/>
            <w:shd w:fill="DDEBF7" w:color="auto" w:val="clear"/>
            <w:tcMar>
              <w:top w:type="dxa" w:w="100"/>
              <w:left w:type="dxa" w:w="120"/>
              <w:bottom w:type="dxa" w:w="100"/>
              <w:right w:type="dxa" w:w="120"/>
            </w:tcMar>
          </w:tcPr>
          <w:p>
            <w:r>
              <w:rPr>
                <w:b/>
                <w:bCs/>
                <w:sz w:val="20"/>
                <w:szCs w:val="20"/>
              </w:rPr>
              <w:t xml:space="preserve">Library</w:t>
            </w:r>
          </w:p>
        </w:tc>
        <w:tc>
          <w:tcPr>
            <w:tcW w:type="dxa" w:w="3600"/>
            <w:shd w:fill="DDEBF7" w:color="auto" w:val="clear"/>
            <w:tcMar>
              <w:top w:type="dxa" w:w="100"/>
              <w:left w:type="dxa" w:w="120"/>
              <w:bottom w:type="dxa" w:w="100"/>
              <w:right w:type="dxa" w:w="120"/>
            </w:tcMar>
          </w:tcPr>
          <w:p>
            <w:r>
              <w:rPr>
                <w:b/>
                <w:bCs/>
                <w:sz w:val="20"/>
                <w:szCs w:val="20"/>
              </w:rPr>
              <w:t xml:space="preserve">Best Used For</w:t>
            </w:r>
          </w:p>
        </w:tc>
        <w:tc>
          <w:tcPr>
            <w:tcW w:type="dxa" w:w="3800"/>
            <w:shd w:fill="DDEBF7" w:color="auto" w:val="clear"/>
            <w:tcMar>
              <w:top w:type="dxa" w:w="100"/>
              <w:left w:type="dxa" w:w="120"/>
              <w:bottom w:type="dxa" w:w="100"/>
              <w:right w:type="dxa" w:w="120"/>
            </w:tcMar>
          </w:tcPr>
          <w:p>
            <w:r>
              <w:rPr>
                <w:b/>
                <w:bCs/>
                <w:sz w:val="20"/>
                <w:szCs w:val="20"/>
              </w:rPr>
              <w:t xml:space="preserve">Why It Matters for Business Analysts</w:t>
            </w:r>
          </w:p>
        </w:tc>
      </w:tr>
      <w:tr>
        <w:tc>
          <w:tcPr>
            <w:tcW w:type="dxa" w:w="1900"/>
            <w:tcMar>
              <w:top w:type="dxa" w:w="100"/>
              <w:left w:type="dxa" w:w="120"/>
              <w:bottom w:type="dxa" w:w="100"/>
              <w:right w:type="dxa" w:w="120"/>
            </w:tcMar>
          </w:tcPr>
          <w:p>
            <w:r>
              <w:rPr>
                <w:b w:val="false"/>
                <w:bCs w:val="false"/>
                <w:sz w:val="20"/>
                <w:szCs w:val="20"/>
              </w:rPr>
              <w:t xml:space="preserve">pandas</w:t>
            </w:r>
          </w:p>
        </w:tc>
        <w:tc>
          <w:tcPr>
            <w:tcW w:type="dxa" w:w="3600"/>
            <w:tcMar>
              <w:top w:type="dxa" w:w="100"/>
              <w:left w:type="dxa" w:w="120"/>
              <w:bottom w:type="dxa" w:w="100"/>
              <w:right w:type="dxa" w:w="120"/>
            </w:tcMar>
          </w:tcPr>
          <w:p>
            <w:r>
              <w:rPr>
                <w:b w:val="false"/>
                <w:bCs w:val="false"/>
                <w:sz w:val="20"/>
                <w:szCs w:val="20"/>
              </w:rPr>
              <w:t xml:space="preserve">Loading, cleaning, resampling and indexing date-stamped data</w:t>
            </w:r>
          </w:p>
        </w:tc>
        <w:tc>
          <w:tcPr>
            <w:tcW w:type="dxa" w:w="3800"/>
            <w:tcMar>
              <w:top w:type="dxa" w:w="100"/>
              <w:left w:type="dxa" w:w="120"/>
              <w:bottom w:type="dxa" w:w="100"/>
              <w:right w:type="dxa" w:w="120"/>
            </w:tcMar>
          </w:tcPr>
          <w:p>
            <w:r>
              <w:rPr>
                <w:b w:val="false"/>
                <w:bCs w:val="false"/>
                <w:sz w:val="20"/>
                <w:szCs w:val="20"/>
              </w:rPr>
              <w:t xml:space="preserve">Forms the backbone of any time-series workflow; its DatetimeIndex makes resampling (daily to monthly, for example) a one-line operation</w:t>
            </w:r>
          </w:p>
        </w:tc>
      </w:tr>
      <w:tr>
        <w:tc>
          <w:tcPr>
            <w:tcW w:type="dxa" w:w="1900"/>
            <w:tcMar>
              <w:top w:type="dxa" w:w="100"/>
              <w:left w:type="dxa" w:w="120"/>
              <w:bottom w:type="dxa" w:w="100"/>
              <w:right w:type="dxa" w:w="120"/>
            </w:tcMar>
          </w:tcPr>
          <w:p>
            <w:r>
              <w:rPr>
                <w:b w:val="false"/>
                <w:bCs w:val="false"/>
                <w:sz w:val="20"/>
                <w:szCs w:val="20"/>
              </w:rPr>
              <w:t xml:space="preserve">statsmodels</w:t>
            </w:r>
          </w:p>
        </w:tc>
        <w:tc>
          <w:tcPr>
            <w:tcW w:type="dxa" w:w="3600"/>
            <w:tcMar>
              <w:top w:type="dxa" w:w="100"/>
              <w:left w:type="dxa" w:w="120"/>
              <w:bottom w:type="dxa" w:w="100"/>
              <w:right w:type="dxa" w:w="120"/>
            </w:tcMar>
          </w:tcPr>
          <w:p>
            <w:r>
              <w:rPr>
                <w:b w:val="false"/>
                <w:bCs w:val="false"/>
                <w:sz w:val="20"/>
                <w:szCs w:val="20"/>
              </w:rPr>
              <w:t xml:space="preserve">Classical statistical modeling: ARIMA, SARIMA, exponential smoothing, decomposition</w:t>
            </w:r>
          </w:p>
        </w:tc>
        <w:tc>
          <w:tcPr>
            <w:tcW w:type="dxa" w:w="3800"/>
            <w:tcMar>
              <w:top w:type="dxa" w:w="100"/>
              <w:left w:type="dxa" w:w="120"/>
              <w:bottom w:type="dxa" w:w="100"/>
              <w:right w:type="dxa" w:w="120"/>
            </w:tcMar>
          </w:tcPr>
          <w:p>
            <w:r>
              <w:rPr>
                <w:b w:val="false"/>
                <w:bCs w:val="false"/>
                <w:sz w:val="20"/>
                <w:szCs w:val="20"/>
              </w:rPr>
              <w:t xml:space="preserve">Gives transparent, interpretable models with confidence intervals, which matters when results have to be defended to stakeholders</w:t>
            </w:r>
          </w:p>
        </w:tc>
      </w:tr>
      <w:tr>
        <w:tc>
          <w:tcPr>
            <w:tcW w:type="dxa" w:w="1900"/>
            <w:tcMar>
              <w:top w:type="dxa" w:w="100"/>
              <w:left w:type="dxa" w:w="120"/>
              <w:bottom w:type="dxa" w:w="100"/>
              <w:right w:type="dxa" w:w="120"/>
            </w:tcMar>
          </w:tcPr>
          <w:p>
            <w:r>
              <w:rPr>
                <w:b w:val="false"/>
                <w:bCs w:val="false"/>
                <w:sz w:val="20"/>
                <w:szCs w:val="20"/>
              </w:rPr>
              <w:t xml:space="preserve">Prophet</w:t>
            </w:r>
          </w:p>
        </w:tc>
        <w:tc>
          <w:tcPr>
            <w:tcW w:type="dxa" w:w="3600"/>
            <w:tcMar>
              <w:top w:type="dxa" w:w="100"/>
              <w:left w:type="dxa" w:w="120"/>
              <w:bottom w:type="dxa" w:w="100"/>
              <w:right w:type="dxa" w:w="120"/>
            </w:tcMar>
          </w:tcPr>
          <w:p>
            <w:r>
              <w:rPr>
                <w:b w:val="false"/>
                <w:bCs w:val="false"/>
                <w:sz w:val="20"/>
                <w:szCs w:val="20"/>
              </w:rPr>
              <w:t xml:space="preserve">Fast forecasting with strong seasonal and holiday effects</w:t>
            </w:r>
          </w:p>
        </w:tc>
        <w:tc>
          <w:tcPr>
            <w:tcW w:type="dxa" w:w="3800"/>
            <w:tcMar>
              <w:top w:type="dxa" w:w="100"/>
              <w:left w:type="dxa" w:w="120"/>
              <w:bottom w:type="dxa" w:w="100"/>
              <w:right w:type="dxa" w:w="120"/>
            </w:tcMar>
          </w:tcPr>
          <w:p>
            <w:r>
              <w:rPr>
                <w:b w:val="false"/>
                <w:bCs w:val="false"/>
                <w:sz w:val="20"/>
                <w:szCs w:val="20"/>
              </w:rPr>
              <w:t xml:space="preserve">Built by Meta's data science team for business forecasting; handles missing data and outliers gracefully with minimal tuning</w:t>
            </w:r>
          </w:p>
        </w:tc>
      </w:tr>
      <w:tr>
        <w:tc>
          <w:tcPr>
            <w:tcW w:type="dxa" w:w="1900"/>
            <w:tcMar>
              <w:top w:type="dxa" w:w="100"/>
              <w:left w:type="dxa" w:w="120"/>
              <w:bottom w:type="dxa" w:w="100"/>
              <w:right w:type="dxa" w:w="120"/>
            </w:tcMar>
          </w:tcPr>
          <w:p>
            <w:r>
              <w:rPr>
                <w:b w:val="false"/>
                <w:bCs w:val="false"/>
                <w:sz w:val="20"/>
                <w:szCs w:val="20"/>
              </w:rPr>
              <w:t xml:space="preserve">scikit-learn</w:t>
            </w:r>
          </w:p>
        </w:tc>
        <w:tc>
          <w:tcPr>
            <w:tcW w:type="dxa" w:w="3600"/>
            <w:tcMar>
              <w:top w:type="dxa" w:w="100"/>
              <w:left w:type="dxa" w:w="120"/>
              <w:bottom w:type="dxa" w:w="100"/>
              <w:right w:type="dxa" w:w="120"/>
            </w:tcMar>
          </w:tcPr>
          <w:p>
            <w:r>
              <w:rPr>
                <w:b w:val="false"/>
                <w:bCs w:val="false"/>
                <w:sz w:val="20"/>
                <w:szCs w:val="20"/>
              </w:rPr>
              <w:t xml:space="preserve">Feature-based regression models and anomaly detection (Isolation Forest, One-Class SVM)</w:t>
            </w:r>
          </w:p>
        </w:tc>
        <w:tc>
          <w:tcPr>
            <w:tcW w:type="dxa" w:w="3800"/>
            <w:tcMar>
              <w:top w:type="dxa" w:w="100"/>
              <w:left w:type="dxa" w:w="120"/>
              <w:bottom w:type="dxa" w:w="100"/>
              <w:right w:type="dxa" w:w="120"/>
            </w:tcMar>
          </w:tcPr>
          <w:p>
            <w:r>
              <w:rPr>
                <w:b w:val="false"/>
                <w:bCs w:val="false"/>
                <w:sz w:val="20"/>
                <w:szCs w:val="20"/>
              </w:rPr>
              <w:t xml:space="preserve">Useful when trends depend on external drivers, such as marketing spend or macroeconomic indicators</w:t>
            </w:r>
          </w:p>
        </w:tc>
      </w:tr>
      <w:tr>
        <w:tc>
          <w:tcPr>
            <w:tcW w:type="dxa" w:w="1900"/>
            <w:tcMar>
              <w:top w:type="dxa" w:w="100"/>
              <w:left w:type="dxa" w:w="120"/>
              <w:bottom w:type="dxa" w:w="100"/>
              <w:right w:type="dxa" w:w="120"/>
            </w:tcMar>
          </w:tcPr>
          <w:p>
            <w:r>
              <w:rPr>
                <w:b w:val="false"/>
                <w:bCs w:val="false"/>
                <w:sz w:val="20"/>
                <w:szCs w:val="20"/>
              </w:rPr>
              <w:t xml:space="preserve">Matplotlib / Seaborn / Plotly</w:t>
            </w:r>
          </w:p>
        </w:tc>
        <w:tc>
          <w:tcPr>
            <w:tcW w:type="dxa" w:w="3600"/>
            <w:tcMar>
              <w:top w:type="dxa" w:w="100"/>
              <w:left w:type="dxa" w:w="120"/>
              <w:bottom w:type="dxa" w:w="100"/>
              <w:right w:type="dxa" w:w="120"/>
            </w:tcMar>
          </w:tcPr>
          <w:p>
            <w:r>
              <w:rPr>
                <w:b w:val="false"/>
                <w:bCs w:val="false"/>
                <w:sz w:val="20"/>
                <w:szCs w:val="20"/>
              </w:rPr>
              <w:t xml:space="preserve">Visualizing trend, seasonality and residual components</w:t>
            </w:r>
          </w:p>
        </w:tc>
        <w:tc>
          <w:tcPr>
            <w:tcW w:type="dxa" w:w="3800"/>
            <w:tcMar>
              <w:top w:type="dxa" w:w="100"/>
              <w:left w:type="dxa" w:w="120"/>
              <w:bottom w:type="dxa" w:w="100"/>
              <w:right w:type="dxa" w:w="120"/>
            </w:tcMar>
          </w:tcPr>
          <w:p>
            <w:r>
              <w:rPr>
                <w:b w:val="false"/>
                <w:bCs w:val="false"/>
                <w:sz w:val="20"/>
                <w:szCs w:val="20"/>
              </w:rPr>
              <w:t xml:space="preserve">Communicates findings to non-technical stakeholders far more effectively than raw tables of numbers</w:t>
            </w:r>
          </w:p>
        </w:tc>
      </w:tr>
    </w:tbl>
    <w:p>
      <w:pPr>
        <w:spacing w:after="160"/>
      </w:pPr>
    </w:p>
    <w:p>
      <w:pPr>
        <w:pStyle w:val="Heading2"/>
        <w:spacing w:after="120" w:before="260"/>
      </w:pPr>
      <w:r>
        <w:rPr>
          <w:b/>
          <w:bCs/>
          <w:color w:val="1F4E79"/>
          <w:sz w:val="24"/>
          <w:szCs w:val="24"/>
        </w:rPr>
        <w:t xml:space="preserve">3.1 statsmodels in Practice</w:t>
      </w:r>
    </w:p>
    <w:p>
      <w:pPr>
        <w:spacing w:after="160" w:line="300"/>
        <w:jc w:val="both"/>
      </w:pPr>
      <w:r>
        <w:rPr>
          <w:sz w:val="22"/>
          <w:szCs w:val="22"/>
        </w:rPr>
        <w:t xml:space="preserve">statsmodels is the workhorse for classical, statistically grounded time-series modeling. Its tsa (time-series analysis) module implements ARIMA and Seasonal ARIMA (SARIMAX), exponential smoothing (Holt-Winters), and the seasonal_decompose and STL functions mentioned above. Its main strength is transparency: every model returns coefficients, p-values, confidence intervals and diagnostic residual plots, so an analyst can explain exactly why the model is forecasting what it is forecasting — a critical requirement when a forecast will justify a budget or staffing decision.</w:t>
      </w:r>
    </w:p>
    <w:p>
      <w:pPr>
        <w:pStyle w:val="Heading2"/>
        <w:spacing w:after="120" w:before="260"/>
      </w:pPr>
      <w:r>
        <w:rPr>
          <w:b/>
          <w:bCs/>
          <w:color w:val="1F4E79"/>
          <w:sz w:val="24"/>
          <w:szCs w:val="24"/>
        </w:rPr>
        <w:t xml:space="preserve">3.2 Prophet in Practice</w:t>
      </w:r>
    </w:p>
    <w:p>
      <w:pPr>
        <w:spacing w:after="160" w:line="300"/>
        <w:jc w:val="both"/>
      </w:pPr>
      <w:r>
        <w:rPr>
          <w:sz w:val="22"/>
          <w:szCs w:val="22"/>
        </w:rPr>
        <w:t xml:space="preserve">Prophet, originally released by Meta's data science team, was built specifically for business forecasting problems: daily or weekly data with strong seasonal effects, missing values, and irregular events like holidays or product launches. It fits an additive model of trend plus seasonality plus holiday effects, and it is deliberately forgiving of messy, real-world data, which makes it a fast way to get a solid baseline forecast without extensive parameter tuning. Where statsmodels rewards careful statistical setup, Prophet rewards speed and ease of iteration, and many teams use the two together — Prophet for a quick first pass, statsmodels for a more rigorous, defensible final model.</w:t>
      </w:r>
    </w:p>
    <w:p>
      <w:pPr>
        <w:pStyle w:val="Heading1"/>
        <w:pBdr>
          <w:bottom w:val="single" w:color="1F4E79" w:sz="6" w:space="4"/>
        </w:pBdr>
        <w:spacing w:after="160" w:before="360"/>
      </w:pPr>
      <w:r>
        <w:rPr>
          <w:b/>
          <w:bCs/>
          <w:color w:val="1F4E79"/>
          <w:sz w:val="30"/>
          <w:szCs w:val="30"/>
        </w:rPr>
        <w:t xml:space="preserve">4. Step-by-Step Analysis Process</w:t>
      </w:r>
    </w:p>
    <w:p>
      <w:pPr>
        <w:spacing w:after="160" w:line="300"/>
        <w:jc w:val="both"/>
      </w:pPr>
      <w:r>
        <w:rPr>
          <w:sz w:val="22"/>
          <w:szCs w:val="22"/>
        </w:rPr>
        <w:t xml:space="preserve">A time-series project moves through five stages in practice, and skipping any of them is the most common source of an unreliable forecast.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00"/>
      </w:tblGrid>
      <w:tr>
        <w:trPr>
          <w:tblHeader/>
        </w:trPr>
        <w:tc>
          <w:tcPr>
            <w:tcW w:type="dxa" w:w="1600"/>
            <w:shd w:fill="DDEBF7" w:color="auto" w:val="clear"/>
            <w:tcMar>
              <w:top w:type="dxa" w:w="100"/>
              <w:left w:type="dxa" w:w="120"/>
              <w:bottom w:type="dxa" w:w="100"/>
              <w:right w:type="dxa" w:w="120"/>
            </w:tcMar>
          </w:tcPr>
          <w:p>
            <w:r>
              <w:rPr>
                <w:b/>
                <w:bCs/>
                <w:sz w:val="20"/>
                <w:szCs w:val="20"/>
              </w:rPr>
              <w:t xml:space="preserve">Stage</w:t>
            </w:r>
          </w:p>
        </w:tc>
        <w:tc>
          <w:tcPr>
            <w:tcW w:type="dxa" w:w="3800"/>
            <w:shd w:fill="DDEBF7" w:color="auto" w:val="clear"/>
            <w:tcMar>
              <w:top w:type="dxa" w:w="100"/>
              <w:left w:type="dxa" w:w="120"/>
              <w:bottom w:type="dxa" w:w="100"/>
              <w:right w:type="dxa" w:w="120"/>
            </w:tcMar>
          </w:tcPr>
          <w:p>
            <w:r>
              <w:rPr>
                <w:b/>
                <w:bCs/>
                <w:sz w:val="20"/>
                <w:szCs w:val="20"/>
              </w:rPr>
              <w:t xml:space="preserve">What Happens</w:t>
            </w:r>
          </w:p>
        </w:tc>
        <w:tc>
          <w:tcPr>
            <w:tcW w:type="dxa" w:w="3900"/>
            <w:shd w:fill="DDEBF7" w:color="auto" w:val="clear"/>
            <w:tcMar>
              <w:top w:type="dxa" w:w="100"/>
              <w:left w:type="dxa" w:w="120"/>
              <w:bottom w:type="dxa" w:w="100"/>
              <w:right w:type="dxa" w:w="120"/>
            </w:tcMar>
          </w:tcPr>
          <w:p>
            <w:r>
              <w:rPr>
                <w:b/>
                <w:bCs/>
                <w:sz w:val="20"/>
                <w:szCs w:val="20"/>
              </w:rPr>
              <w:t xml:space="preserve">Typical Python Tools</w:t>
            </w:r>
          </w:p>
        </w:tc>
      </w:tr>
      <w:tr>
        <w:tc>
          <w:tcPr>
            <w:tcW w:type="dxa" w:w="1600"/>
            <w:tcMar>
              <w:top w:type="dxa" w:w="100"/>
              <w:left w:type="dxa" w:w="120"/>
              <w:bottom w:type="dxa" w:w="100"/>
              <w:right w:type="dxa" w:w="120"/>
            </w:tcMar>
          </w:tcPr>
          <w:p>
            <w:r>
              <w:rPr>
                <w:b w:val="false"/>
                <w:bCs w:val="false"/>
                <w:sz w:val="20"/>
                <w:szCs w:val="20"/>
              </w:rPr>
              <w:t xml:space="preserve">1. Data Wrangling</w:t>
            </w:r>
          </w:p>
        </w:tc>
        <w:tc>
          <w:tcPr>
            <w:tcW w:type="dxa" w:w="3800"/>
            <w:tcMar>
              <w:top w:type="dxa" w:w="100"/>
              <w:left w:type="dxa" w:w="120"/>
              <w:bottom w:type="dxa" w:w="100"/>
              <w:right w:type="dxa" w:w="120"/>
            </w:tcMar>
          </w:tcPr>
          <w:p>
            <w:r>
              <w:rPr>
                <w:b w:val="false"/>
                <w:bCs w:val="false"/>
                <w:sz w:val="20"/>
                <w:szCs w:val="20"/>
              </w:rPr>
              <w:t xml:space="preserve">Parse dates, set a DatetimeIndex, handle missing timestamps, resample to a consistent frequency, and treat outliers</w:t>
            </w:r>
          </w:p>
        </w:tc>
        <w:tc>
          <w:tcPr>
            <w:tcW w:type="dxa" w:w="3900"/>
            <w:tcMar>
              <w:top w:type="dxa" w:w="100"/>
              <w:left w:type="dxa" w:w="120"/>
              <w:bottom w:type="dxa" w:w="100"/>
              <w:right w:type="dxa" w:w="120"/>
            </w:tcMar>
          </w:tcPr>
          <w:p>
            <w:r>
              <w:rPr>
                <w:b w:val="false"/>
                <w:bCs w:val="false"/>
                <w:sz w:val="20"/>
                <w:szCs w:val="20"/>
              </w:rPr>
              <w:t xml:space="preserve">pandas, numpy</w:t>
            </w:r>
          </w:p>
        </w:tc>
      </w:tr>
      <w:tr>
        <w:tc>
          <w:tcPr>
            <w:tcW w:type="dxa" w:w="1600"/>
            <w:tcMar>
              <w:top w:type="dxa" w:w="100"/>
              <w:left w:type="dxa" w:w="120"/>
              <w:bottom w:type="dxa" w:w="100"/>
              <w:right w:type="dxa" w:w="120"/>
            </w:tcMar>
          </w:tcPr>
          <w:p>
            <w:r>
              <w:rPr>
                <w:b w:val="false"/>
                <w:bCs w:val="false"/>
                <w:sz w:val="20"/>
                <w:szCs w:val="20"/>
              </w:rPr>
              <w:t xml:space="preserve">2. Exploratory Analysis</w:t>
            </w:r>
          </w:p>
        </w:tc>
        <w:tc>
          <w:tcPr>
            <w:tcW w:type="dxa" w:w="3800"/>
            <w:tcMar>
              <w:top w:type="dxa" w:w="100"/>
              <w:left w:type="dxa" w:w="120"/>
              <w:bottom w:type="dxa" w:w="100"/>
              <w:right w:type="dxa" w:w="120"/>
            </w:tcMar>
          </w:tcPr>
          <w:p>
            <w:r>
              <w:rPr>
                <w:b w:val="false"/>
                <w:bCs w:val="false"/>
                <w:sz w:val="20"/>
                <w:szCs w:val="20"/>
              </w:rPr>
              <w:t xml:space="preserve">Plot the raw series, decompose it into trend, seasonal and residual parts, and run stationarity tests</w:t>
            </w:r>
          </w:p>
        </w:tc>
        <w:tc>
          <w:tcPr>
            <w:tcW w:type="dxa" w:w="3900"/>
            <w:tcMar>
              <w:top w:type="dxa" w:w="100"/>
              <w:left w:type="dxa" w:w="120"/>
              <w:bottom w:type="dxa" w:w="100"/>
              <w:right w:type="dxa" w:w="120"/>
            </w:tcMar>
          </w:tcPr>
          <w:p>
            <w:r>
              <w:rPr>
                <w:b w:val="false"/>
                <w:bCs w:val="false"/>
                <w:sz w:val="20"/>
                <w:szCs w:val="20"/>
              </w:rPr>
              <w:t xml:space="preserve">statsmodels (seasonal_decompose, ADF test), Matplotlib</w:t>
            </w:r>
          </w:p>
        </w:tc>
      </w:tr>
      <w:tr>
        <w:tc>
          <w:tcPr>
            <w:tcW w:type="dxa" w:w="1600"/>
            <w:tcMar>
              <w:top w:type="dxa" w:w="100"/>
              <w:left w:type="dxa" w:w="120"/>
              <w:bottom w:type="dxa" w:w="100"/>
              <w:right w:type="dxa" w:w="120"/>
            </w:tcMar>
          </w:tcPr>
          <w:p>
            <w:r>
              <w:rPr>
                <w:b w:val="false"/>
                <w:bCs w:val="false"/>
                <w:sz w:val="20"/>
                <w:szCs w:val="20"/>
              </w:rPr>
              <w:t xml:space="preserve">3. Model Fitting</w:t>
            </w:r>
          </w:p>
        </w:tc>
        <w:tc>
          <w:tcPr>
            <w:tcW w:type="dxa" w:w="3800"/>
            <w:tcMar>
              <w:top w:type="dxa" w:w="100"/>
              <w:left w:type="dxa" w:w="120"/>
              <w:bottom w:type="dxa" w:w="100"/>
              <w:right w:type="dxa" w:w="120"/>
            </w:tcMar>
          </w:tcPr>
          <w:p>
            <w:r>
              <w:rPr>
                <w:b w:val="false"/>
                <w:bCs w:val="false"/>
                <w:sz w:val="20"/>
                <w:szCs w:val="20"/>
              </w:rPr>
              <w:t xml:space="preserve">Fit one or more candidate models on a training window, tuning parameters such as ARIMA's (p, d, q) orders</w:t>
            </w:r>
          </w:p>
        </w:tc>
        <w:tc>
          <w:tcPr>
            <w:tcW w:type="dxa" w:w="3900"/>
            <w:tcMar>
              <w:top w:type="dxa" w:w="100"/>
              <w:left w:type="dxa" w:w="120"/>
              <w:bottom w:type="dxa" w:w="100"/>
              <w:right w:type="dxa" w:w="120"/>
            </w:tcMar>
          </w:tcPr>
          <w:p>
            <w:r>
              <w:rPr>
                <w:b w:val="false"/>
                <w:bCs w:val="false"/>
                <w:sz w:val="20"/>
                <w:szCs w:val="20"/>
              </w:rPr>
              <w:t xml:space="preserve">statsmodels (ARIMA/SARIMAX), Prophet</w:t>
            </w:r>
          </w:p>
        </w:tc>
      </w:tr>
      <w:tr>
        <w:tc>
          <w:tcPr>
            <w:tcW w:type="dxa" w:w="1600"/>
            <w:tcMar>
              <w:top w:type="dxa" w:w="100"/>
              <w:left w:type="dxa" w:w="120"/>
              <w:bottom w:type="dxa" w:w="100"/>
              <w:right w:type="dxa" w:w="120"/>
            </w:tcMar>
          </w:tcPr>
          <w:p>
            <w:r>
              <w:rPr>
                <w:b w:val="false"/>
                <w:bCs w:val="false"/>
                <w:sz w:val="20"/>
                <w:szCs w:val="20"/>
              </w:rPr>
              <w:t xml:space="preserve">4. Accuracy Evaluation</w:t>
            </w:r>
          </w:p>
        </w:tc>
        <w:tc>
          <w:tcPr>
            <w:tcW w:type="dxa" w:w="3800"/>
            <w:tcMar>
              <w:top w:type="dxa" w:w="100"/>
              <w:left w:type="dxa" w:w="120"/>
              <w:bottom w:type="dxa" w:w="100"/>
              <w:right w:type="dxa" w:w="120"/>
            </w:tcMar>
          </w:tcPr>
          <w:p>
            <w:r>
              <w:rPr>
                <w:b w:val="false"/>
                <w:bCs w:val="false"/>
                <w:sz w:val="20"/>
                <w:szCs w:val="20"/>
              </w:rPr>
              <w:t xml:space="preserve">Hold out recent periods, forecast against them, and score with MAE, RMSE or MAPE before comparing models</w:t>
            </w:r>
          </w:p>
        </w:tc>
        <w:tc>
          <w:tcPr>
            <w:tcW w:type="dxa" w:w="3900"/>
            <w:tcMar>
              <w:top w:type="dxa" w:w="100"/>
              <w:left w:type="dxa" w:w="120"/>
              <w:bottom w:type="dxa" w:w="100"/>
              <w:right w:type="dxa" w:w="120"/>
            </w:tcMar>
          </w:tcPr>
          <w:p>
            <w:r>
              <w:rPr>
                <w:b w:val="false"/>
                <w:bCs w:val="false"/>
                <w:sz w:val="20"/>
                <w:szCs w:val="20"/>
              </w:rPr>
              <w:t xml:space="preserve">scikit-learn.metrics, custom scripts</w:t>
            </w:r>
          </w:p>
        </w:tc>
      </w:tr>
      <w:tr>
        <w:tc>
          <w:tcPr>
            <w:tcW w:type="dxa" w:w="1600"/>
            <w:tcMar>
              <w:top w:type="dxa" w:w="100"/>
              <w:left w:type="dxa" w:w="120"/>
              <w:bottom w:type="dxa" w:w="100"/>
              <w:right w:type="dxa" w:w="120"/>
            </w:tcMar>
          </w:tcPr>
          <w:p>
            <w:r>
              <w:rPr>
                <w:b w:val="false"/>
                <w:bCs w:val="false"/>
                <w:sz w:val="20"/>
                <w:szCs w:val="20"/>
              </w:rPr>
              <w:t xml:space="preserve">5. Deployment &amp; Monitoring</w:t>
            </w:r>
          </w:p>
        </w:tc>
        <w:tc>
          <w:tcPr>
            <w:tcW w:type="dxa" w:w="3800"/>
            <w:tcMar>
              <w:top w:type="dxa" w:w="100"/>
              <w:left w:type="dxa" w:w="120"/>
              <w:bottom w:type="dxa" w:w="100"/>
              <w:right w:type="dxa" w:w="120"/>
            </w:tcMar>
          </w:tcPr>
          <w:p>
            <w:r>
              <w:rPr>
                <w:b w:val="false"/>
                <w:bCs w:val="false"/>
                <w:sz w:val="20"/>
                <w:szCs w:val="20"/>
              </w:rPr>
              <w:t xml:space="preserve">Package the winning model, schedule retraining, and track live forecast error to catch drift early</w:t>
            </w:r>
          </w:p>
        </w:tc>
        <w:tc>
          <w:tcPr>
            <w:tcW w:type="dxa" w:w="3900"/>
            <w:tcMar>
              <w:top w:type="dxa" w:w="100"/>
              <w:left w:type="dxa" w:w="120"/>
              <w:bottom w:type="dxa" w:w="100"/>
              <w:right w:type="dxa" w:w="120"/>
            </w:tcMar>
          </w:tcPr>
          <w:p>
            <w:r>
              <w:rPr>
                <w:b w:val="false"/>
                <w:bCs w:val="false"/>
                <w:sz w:val="20"/>
                <w:szCs w:val="20"/>
              </w:rPr>
              <w:t xml:space="preserve">joblib/pickle, cron or an orchestration tool</w:t>
            </w:r>
          </w:p>
        </w:tc>
      </w:tr>
    </w:tbl>
    <w:p>
      <w:pPr>
        <w:spacing w:after="160"/>
      </w:pPr>
    </w:p>
    <w:p>
      <w:pPr>
        <w:spacing w:after="160" w:line="300"/>
        <w:jc w:val="both"/>
      </w:pPr>
      <w:r>
        <w:rPr>
          <w:b/>
          <w:bCs/>
          <w:sz w:val="22"/>
          <w:szCs w:val="22"/>
        </w:rPr>
        <w:t xml:space="preserve">Data wrangling </w:t>
      </w:r>
      <w:r>
        <w:rPr>
          <w:sz w:val="22"/>
          <w:szCs w:val="22"/>
        </w:rPr>
        <w:t xml:space="preserve">deserves particular emphasis because time-series models are unusually sensitive to gaps and irregular spacing. Even a single missing week, left unaddressed, can shift a seasonal estimate or bias a trend line.</w:t>
      </w:r>
    </w:p>
    <w:p>
      <w:pPr>
        <w:spacing w:after="160" w:line="300"/>
        <w:jc w:val="both"/>
      </w:pPr>
      <w:r>
        <w:rPr>
          <w:b/>
          <w:bCs/>
          <w:sz w:val="22"/>
          <w:szCs w:val="22"/>
        </w:rPr>
        <w:t xml:space="preserve">Model fitting </w:t>
      </w:r>
      <w:r>
        <w:rPr>
          <w:sz w:val="22"/>
          <w:szCs w:val="22"/>
        </w:rPr>
        <w:t xml:space="preserve">is rarely a one-shot exercise. Analysts typically fit several candidate models — a simple moving average as a benchmark, an ARIMA model, and a Prophet model — then let the accuracy evaluation stage decide which one earns a place in production.</w:t>
      </w:r>
    </w:p>
    <w:p>
      <w:pPr>
        <w:spacing w:after="160" w:line="300"/>
        <w:jc w:val="both"/>
      </w:pPr>
      <w:r>
        <w:rPr>
          <w:b/>
          <w:bCs/>
          <w:sz w:val="22"/>
          <w:szCs w:val="22"/>
        </w:rPr>
        <w:t xml:space="preserve">Accuracy evaluation </w:t>
      </w:r>
      <w:r>
        <w:rPr>
          <w:sz w:val="22"/>
          <w:szCs w:val="22"/>
        </w:rPr>
        <w:t xml:space="preserve">must always be done on data the model has not seen, using a chronological (not random) train/test split, since a model can trivially memorize a series it was trained on. Mean Absolute Percentage Error (MAPE) is popular because it is easy to explain to a non-technical stakeholder — a forecast with an 8% MAPE is "about 8% off, on average."</w:t>
      </w:r>
    </w:p>
    <w:p>
      <w:pPr>
        <w:pStyle w:val="Heading1"/>
        <w:pBdr>
          <w:bottom w:val="single" w:color="1F4E79" w:sz="6" w:space="4"/>
        </w:pBdr>
        <w:spacing w:after="160" w:before="360"/>
      </w:pPr>
      <w:r>
        <w:rPr>
          <w:b/>
          <w:bCs/>
          <w:color w:val="1F4E79"/>
          <w:sz w:val="30"/>
          <w:szCs w:val="30"/>
        </w:rPr>
        <w:t xml:space="preserve">5. Business Implications</w:t>
      </w:r>
    </w:p>
    <w:p>
      <w:pPr>
        <w:spacing w:after="160" w:line="300"/>
        <w:jc w:val="both"/>
      </w:pPr>
      <w:r>
        <w:rPr>
          <w:sz w:val="22"/>
          <w:szCs w:val="22"/>
        </w:rPr>
        <w:t xml:space="preserve">None of the above matters unless it changes a decision. The real payoff of time-series analysis shows up in several concrete business applications:</w:t>
      </w:r>
    </w:p>
    <w:p>
      <w:pPr>
        <w:pStyle w:val="ListParagraph"/>
        <w:numPr>
          <w:ilvl w:val="0"/>
          <w:numId w:val="2"/>
        </w:numPr>
        <w:spacing w:after="100" w:line="280"/>
      </w:pPr>
      <w:r>
        <w:rPr>
          <w:sz w:val="22"/>
          <w:szCs w:val="22"/>
        </w:rPr>
        <w:t xml:space="preserve">Demand and revenue forecasting: retailers, airlines and subscription businesses use seasonal forecasts to plan inventory, pricing and staffing months in advance rather than reacting after the fact.</w:t>
      </w:r>
    </w:p>
    <w:p>
      <w:pPr>
        <w:pStyle w:val="ListParagraph"/>
        <w:numPr>
          <w:ilvl w:val="0"/>
          <w:numId w:val="2"/>
        </w:numPr>
        <w:spacing w:after="100" w:line="280"/>
      </w:pPr>
      <w:r>
        <w:rPr>
          <w:sz w:val="22"/>
          <w:szCs w:val="22"/>
        </w:rPr>
        <w:t xml:space="preserve">Operational optimization: manufacturers monitor equipment sensor time series to schedule preventive maintenance before a failure happens, cutting unplanned downtime.</w:t>
      </w:r>
    </w:p>
    <w:p>
      <w:pPr>
        <w:pStyle w:val="ListParagraph"/>
        <w:numPr>
          <w:ilvl w:val="0"/>
          <w:numId w:val="2"/>
        </w:numPr>
        <w:spacing w:after="100" w:line="280"/>
      </w:pPr>
      <w:r>
        <w:rPr>
          <w:sz w:val="22"/>
          <w:szCs w:val="22"/>
        </w:rPr>
        <w:t xml:space="preserve">Anomaly and fraud detection: financial institutions and e-commerce platforms flag transactions that break from a customer's normal time-based pattern for real-time review.</w:t>
      </w:r>
    </w:p>
    <w:p>
      <w:pPr>
        <w:pStyle w:val="ListParagraph"/>
        <w:numPr>
          <w:ilvl w:val="0"/>
          <w:numId w:val="2"/>
        </w:numPr>
        <w:spacing w:after="100" w:line="280"/>
      </w:pPr>
      <w:r>
        <w:rPr>
          <w:sz w:val="22"/>
          <w:szCs w:val="22"/>
        </w:rPr>
        <w:t xml:space="preserve">Strategic planning: leadership teams use long-horizon trend extrapolation, combined with scenario analysis, to decide where to invest, when to expand capacity, or when to exit a declining market.</w:t>
      </w:r>
    </w:p>
    <w:p>
      <w:pPr>
        <w:pStyle w:val="ListParagraph"/>
        <w:numPr>
          <w:ilvl w:val="0"/>
          <w:numId w:val="2"/>
        </w:numPr>
        <w:spacing w:after="100" w:line="280"/>
      </w:pPr>
      <w:r>
        <w:rPr>
          <w:sz w:val="22"/>
          <w:szCs w:val="22"/>
        </w:rPr>
        <w:t xml:space="preserve">Marketing effectiveness: seasonal decomposition separates the natural, calendar-driven lift in sales from the lift actually caused by a campaign, giving a truer read on marketing ROI.</w:t>
      </w:r>
    </w:p>
    <w:p>
      <w:pPr>
        <w:spacing w:after="160" w:line="300"/>
        <w:jc w:val="both"/>
      </w:pPr>
      <w:r>
        <w:rPr>
          <w:sz w:val="22"/>
          <w:szCs w:val="22"/>
        </w:rPr>
        <w:t xml:space="preserve">The common thread across all of these is that time-series analysis replaces gut-feel with evidence. A forecast with a quantified confidence interval lets a business plan for a range of outcomes instead of betting everything on a single guess, and an anomaly flagged automatically within hours is far more actionable than one discovered manually at quarter-end. In that sense, the techniques covered in this document are not just a data-science exercise — they are a practical way to make a business more responsive, more efficient and more resilient to change.</w:t>
      </w:r>
    </w:p>
    <w:p>
      <w:pPr>
        <w:pStyle w:val="Heading1"/>
        <w:pBdr>
          <w:bottom w:val="single" w:color="1F4E79" w:sz="6" w:space="4"/>
        </w:pBdr>
        <w:spacing w:after="160" w:before="360"/>
      </w:pPr>
      <w:r>
        <w:rPr>
          <w:b/>
          <w:bCs/>
          <w:color w:val="1F4E79"/>
          <w:sz w:val="30"/>
          <w:szCs w:val="30"/>
        </w:rPr>
        <w:t xml:space="preserve">6. Conclusion</w:t>
      </w:r>
    </w:p>
    <w:p>
      <w:pPr>
        <w:spacing w:after="160" w:line="300"/>
        <w:jc w:val="both"/>
      </w:pPr>
      <w:r>
        <w:rPr>
          <w:sz w:val="22"/>
          <w:szCs w:val="22"/>
        </w:rPr>
        <w:t xml:space="preserve">Time-series analysis takes the natural rhythm hidden inside business data — its trends, its seasonal cycles, its occasional disruptions — and turns that rhythm into something a decision-maker can act on. Python's ecosystem, anchored by pandas for preparation, statsmodels for rigorous statistical modeling, and Prophet for fast, business-friendly forecasting, makes this achievable without a large specialized team. Applied consistently through the five-stage process described here — wrangle, explore, model, evaluate, deploy — advanced analytics stops being an academic exercise and becomes a repeatable engine for better forecasting, faster anomaly response, and sharper strategic planning.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2026-09-17T15:55:48.645Z</dcterms:created>
  <dcterms:modified xsi:type="dcterms:W3CDTF">2026-09-17T15:55:48.655Z</dcterms:modified>
</cp:coreProperties>
</file>

<file path=docProps/custom.xml><?xml version="1.0" encoding="utf-8"?>
<Properties xmlns="http://schemas.openxmlformats.org/officeDocument/2006/custom-properties" xmlns:vt="http://schemas.openxmlformats.org/officeDocument/2006/docPropsVTypes"/>
</file>