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[1]K.R.Kruthika, Rajeswari, H.D.Maheshappa, “Multistage classifier-based approach for Alzheimer’s Disease prediction and retrieval”, Informatics in Medicine Unlocked, 2019.</w:t>
      </w:r>
    </w:p>
    <w:p w:rsidR="00000000" w:rsidDel="00000000" w:rsidP="00000000" w:rsidRDefault="00000000" w:rsidRPr="00000000" w14:paraId="00000005">
      <w:pP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 [2]Ronghui Ju , Chenhui Hu, Pan Zhou , and Quanzheng Li, “Early Diagnosis of Alzheimer’s Disease Based on Resting-State Brain Networks and Deep Learning”, IEEE/ACM transactions on computational biology and bioinformatics, vol. 16, no. 1, January/February 2019.</w:t>
      </w:r>
    </w:p>
    <w:p w:rsidR="00000000" w:rsidDel="00000000" w:rsidP="00000000" w:rsidRDefault="00000000" w:rsidRPr="00000000" w14:paraId="00000006">
      <w:pP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 [3].Ruoxuan Cuia, Manhua Liu “RNN-based longitudinal analysis for diagnosis of Alzheimer’s disease”, Informatics in Medicine Unlocked, 2019</w:t>
      </w:r>
    </w:p>
    <w:p w:rsidR="00000000" w:rsidDel="00000000" w:rsidP="00000000" w:rsidRDefault="00000000" w:rsidRPr="00000000" w14:paraId="00000007">
      <w:pPr>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 [4]. Fan Zhang , Zhenzhen Li , Boyan Zhang , Haishun Du , Binjie Wang , Xinhong Zhang, “Multi-modal deep learning model for auxiliary diagnosis of Alzheimer’s disease”, NeuroComputing, 2019</w:t>
      </w:r>
    </w:p>
    <w:p w:rsidR="00000000" w:rsidDel="00000000" w:rsidP="00000000" w:rsidRDefault="00000000" w:rsidRPr="00000000" w14:paraId="00000008">
      <w:pPr>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[5].Chenjie Ge , Qixun Qu , Irene Yu-Hua Gu , Asgeir Store Jakola “Multi-stream multi-scale deep convolutional networks for Alzheimer’s disease detection using MR images”, NeuroComputing, 2019</w:t>
      </w:r>
    </w:p>
    <w:p w:rsidR="00000000" w:rsidDel="00000000" w:rsidP="00000000" w:rsidRDefault="00000000" w:rsidRPr="00000000" w14:paraId="00000009">
      <w:pPr>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 [6]. Tesi, N., van der Lee, S.J., Hulsman, M., Jansen, I.E., Stringa, N., van Schoor, N. et al, “Centenarian controls increase variant effect sizes by an average twofold in an extreme caseextreme control analysis of Alzheimer's disease”, Eur J Hum Genet. 2019;27:244–253</w:t>
      </w:r>
    </w:p>
    <w:p w:rsidR="00000000" w:rsidDel="00000000" w:rsidP="00000000" w:rsidRDefault="00000000" w:rsidRPr="00000000" w14:paraId="0000000A">
      <w:pPr>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 [7] J. Shi, X. Zheng, Y. Li, Q. Zhang, S. Ying, "Multimodal neuroimaging feature learning with multimodal stacked deep polynomial networks for diagnosis of Alzheimer’s disease", IEEE J. Biomed. Health Inform., vol. 22, no. 1, pp. 173- 183, Jan. 2018.</w:t>
      </w:r>
    </w:p>
    <w:p w:rsidR="00000000" w:rsidDel="00000000" w:rsidP="00000000" w:rsidRDefault="00000000" w:rsidRPr="00000000" w14:paraId="0000000B">
      <w:pPr>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 [8]M. Liu, J. Zhang, P.-T. Yap, D. Shen, "Viewaligned hypergraph learning for Alzheimer's disease diagnosis with incomplete multi-modality data", Med. Image Anal., 2017 vol. 36, pp. 123- 134.</w:t>
      </w:r>
    </w:p>
    <w:p w:rsidR="00000000" w:rsidDel="00000000" w:rsidP="00000000" w:rsidRDefault="00000000" w:rsidRPr="00000000" w14:paraId="0000000C">
      <w:pPr>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 [9] Hansson O, Seibyl J, Stomrud E, Zetterberg H, Trojanowski JQ,Bittner T, “CSF biomarkers of Alzheimer’s disease concordwith amyloid-bPET and predict clinical progression: A study of fullyautomated immunoassays in BioFINDER and ADNI cohorts”. Alzheimers Dement 2018;14:1470–81.</w:t>
      </w:r>
    </w:p>
    <w:p w:rsidR="00000000" w:rsidDel="00000000" w:rsidP="00000000" w:rsidRDefault="00000000" w:rsidRPr="00000000" w14:paraId="0000000D">
      <w:pPr>
        <w:rPr>
          <w:rFonts w:ascii="Times New Roman" w:cs="Times New Roman" w:eastAsia="Times New Roman" w:hAnsi="Times New Roman"/>
          <w:sz w:val="28"/>
          <w:szCs w:val="28"/>
        </w:rPr>
      </w:pPr>
      <w:bookmarkStart w:colFirst="0" w:colLast="0" w:name="_2s8eyo1" w:id="9"/>
      <w:bookmarkEnd w:id="9"/>
      <w:r w:rsidDel="00000000" w:rsidR="00000000" w:rsidRPr="00000000">
        <w:rPr>
          <w:rFonts w:ascii="Times New Roman" w:cs="Times New Roman" w:eastAsia="Times New Roman" w:hAnsi="Times New Roman"/>
          <w:sz w:val="28"/>
          <w:szCs w:val="28"/>
          <w:rtl w:val="0"/>
        </w:rPr>
        <w:t xml:space="preserve"> [10]Van der Lee SJ, Teunissen CE, Pool R, Shipley MJ, Teumer A,Chouraki V, “Circulating metabolites and general cognitive abilityand dementia: Evidence from 11 cohort studies”, Alzheimer’s Dement2018;14:707–22.</w:t>
      </w:r>
    </w:p>
    <w:p w:rsidR="00000000" w:rsidDel="00000000" w:rsidP="00000000" w:rsidRDefault="00000000" w:rsidRPr="00000000" w14:paraId="0000000E">
      <w:pPr>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 [11]Kauppi Karolina, Dale Anders M, “Combining Polygenic Hazard Score With Volumetric MRI and Cognitive Measures Improves Prediction of Progression from Mild Cognitive Impairment to Alzheimer’s Disease”, Frontiers in Neuroscience, 2018..</w:t>
      </w:r>
    </w:p>
    <w:p w:rsidR="00000000" w:rsidDel="00000000" w:rsidP="00000000" w:rsidRDefault="00000000" w:rsidRPr="00000000" w14:paraId="0000000F">
      <w:pPr>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[12] Grassi M, Loewenstein DA, Caldirola D, Schruers K, Duara R, Perna G, “A clinically-translatable machine learning algorithm for the prediction of Alzheimer's disease conversion: further evidence of its accuracy via a transfer learning approach”, Int Psychogeriatr, 2018 14:1–9. doi: 10.1017/S1041610218001618.</w:t>
      </w:r>
    </w:p>
    <w:p w:rsidR="00000000" w:rsidDel="00000000" w:rsidP="00000000" w:rsidRDefault="00000000" w:rsidRPr="00000000" w14:paraId="00000010">
      <w:pPr>
        <w:rPr>
          <w:rFonts w:ascii="Times New Roman" w:cs="Times New Roman" w:eastAsia="Times New Roman" w:hAnsi="Times New Roman"/>
          <w:sz w:val="28"/>
          <w:szCs w:val="28"/>
        </w:rPr>
      </w:pPr>
      <w:bookmarkStart w:colFirst="0" w:colLast="0" w:name="_4b9ziyg4fkj8" w:id="12"/>
      <w:bookmarkEnd w:id="12"/>
      <w:r w:rsidDel="00000000" w:rsidR="00000000" w:rsidRPr="00000000">
        <w:rPr>
          <w:rFonts w:ascii="Times New Roman" w:cs="Times New Roman" w:eastAsia="Times New Roman" w:hAnsi="Times New Roman"/>
          <w:sz w:val="28"/>
          <w:szCs w:val="28"/>
          <w:rtl w:val="0"/>
        </w:rPr>
        <w:t xml:space="preserve"> [13] Nation, D.A., Sweeney, M.D., Montagne, A., Sagare, A.P., D’Orazio, L.M., Pachicano, M. et al, “Blood-brain barrier breakdown is an early biomarker of human cognitive dysfunction”, Nat Med. 2019;25:270–276.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