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t xml:space="preserve">1 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bookmarkEnd w:id="24"/>
    <w:bookmarkEnd w:id="25"/>
    <w:bookmarkStart w:id="29" w:name="architecture-and-hierarchy"/>
    <w:p>
      <w:pPr>
        <w:pStyle w:val="Heading1"/>
      </w:pPr>
      <w:r>
        <w:t xml:space="preserve">2 Architecture and hierarchy</w:t>
      </w:r>
    </w:p>
    <w:bookmarkStart w:id="26" w:name="block-diagram"/>
    <w:p>
      <w:pPr>
        <w:pStyle w:val="Heading2"/>
      </w:pPr>
      <w:r>
        <w:t xml:space="preserve">2.1 Block diagram</w:t>
      </w:r>
    </w:p>
    <w:p>
      <w:pPr>
        <w:pStyle w:val="SourceCode"/>
      </w:pPr>
      <w:r>
        <w:rPr>
          <w:rStyle w:val="VerbatimChar"/>
        </w:rPr>
        <w:t xml:space="preserve">  RN-F / RN-D / RN-I arrays              SN-F / SN-I arrays</w:t>
      </w:r>
      <w:r>
        <w:br/>
      </w:r>
      <w:r>
        <w:rPr>
          <w:rStyle w:val="VerbatimChar"/>
        </w:rPr>
        <w:t xml:space="preserve">        one chi_if each                     one chi_if each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  chi_link_port                       chi_link_port</w:t>
      </w:r>
      <w:r>
        <w:br/>
      </w:r>
      <w:r>
        <w:rPr>
          <w:rStyle w:val="VerbatimChar"/>
        </w:rPr>
        <w:t xml:space="preserve">   L-Credits, parity, activation      L-Credits, parity, activation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requester SAM + PrefetchTgt map              |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+------------------ chi_noc_top -------------------+</w:t>
      </w:r>
      <w:r>
        <w:br/>
      </w:r>
      <w:r>
        <w:rPr>
          <w:rStyle w:val="VerbatimChar"/>
        </w:rPr>
        <w:t xml:space="preserve">      |  CROSSBAR          RING            MESH_2D       |</w:t>
      </w:r>
      <w:r>
        <w:br/>
      </w:r>
      <w:r>
        <w:rPr>
          <w:rStyle w:val="VerbatimChar"/>
        </w:rPr>
        <w:t xml:space="preserve">      |  separate REQ / RSP / SNP / DAT ready-valid      |</w:t>
      </w:r>
      <w:r>
        <w:br/>
      </w:r>
      <w:r>
        <w:rPr>
          <w:rStyle w:val="VerbatimChar"/>
        </w:rPr>
        <w:t xml:space="preserve">      +--------------------------+-----------------------+</w:t>
      </w:r>
      <w:r>
        <w:br/>
      </w:r>
      <w:r>
        <w:rPr>
          <w:rStyle w:val="VerbatimChar"/>
        </w:rPr>
        <w:t xml:space="preserve">                                 |</w:t>
      </w:r>
      <w:r>
        <w:br/>
      </w:r>
      <w:r>
        <w:rPr>
          <w:rStyle w:val="VerbatimChar"/>
        </w:rPr>
        <w:t xml:space="preserve">            +--------------------+--------------------+</w:t>
      </w:r>
      <w:r>
        <w:br/>
      </w:r>
      <w:r>
        <w:rPr>
          <w:rStyle w:val="VerbatimChar"/>
        </w:rPr>
        <w:t xml:space="preserve">            |                    |                    |</w:t>
      </w:r>
      <w:r>
        <w:br/>
      </w:r>
      <w:r>
        <w:rPr>
          <w:rStyle w:val="VerbatimChar"/>
        </w:rPr>
        <w:t xml:space="preserve">       chi_hnf_top          chi_hni_top           chi_mn_dvm</w:t>
      </w:r>
      <w:r>
        <w:br/>
      </w:r>
      <w:r>
        <w:rPr>
          <w:rStyle w:val="VerbatimChar"/>
        </w:rPr>
        <w:t xml:space="preserve">      coherent Home       noncoherent Home       DVM sequencer</w:t>
      </w:r>
      <w:r>
        <w:br/>
      </w:r>
      <w:r>
        <w:rPr>
          <w:rStyle w:val="VerbatimChar"/>
        </w:rPr>
        <w:t xml:space="preserve">      + CFG-MMIO endpoint</w:t>
      </w:r>
      <w:r>
        <w:br/>
      </w:r>
      <w:r>
        <w:rPr>
          <w:rStyle w:val="VerbatimChar"/>
        </w:rPr>
        <w:t xml:space="preserve">            |                    |</w:t>
      </w:r>
      <w:r>
        <w:br/>
      </w:r>
      <w:r>
        <w:rPr>
          <w:rStyle w:val="VerbatimChar"/>
        </w:rPr>
        <w:t xml:space="preserve">          SN-F                 SN-I</w:t>
      </w:r>
      <w:r>
        <w:br/>
      </w:r>
      <w:r>
        <w:br/>
      </w:r>
      <w:r>
        <w:rPr>
          <w:rStyle w:val="VerbatimChar"/>
        </w:rPr>
        <w:t xml:space="preserve">  APB4 --&gt; chi_cfg_slave --&gt; shared SAM region-update broadcast</w:t>
      </w:r>
    </w:p>
    <w:p>
      <w:pPr>
        <w:pStyle w:val="FirstParagraph"/>
      </w:pPr>
      <w:r>
        <w:t xml:space="preserve">HN-F, HN-I and MN are internal endpoints on the fabric,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ports, so they have no link layer.</w:t>
      </w:r>
    </w:p>
    <w:bookmarkEnd w:id="26"/>
    <w:bookmarkStart w:id="27" w:name="rtl-hierarchy"/>
    <w:p>
      <w:pPr>
        <w:pStyle w:val="Heading2"/>
      </w:pPr>
      <w:r>
        <w:t xml:space="preserve">2.2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├── chi_link_tx  x3   (RSP, SNP, DAT to the node)</w:t>
      </w:r>
      <w:r>
        <w:br/>
      </w:r>
      <w:r>
        <w:rPr>
          <w:rStyle w:val="VerbatimChar"/>
        </w:rPr>
        <w:t xml:space="preserve">│   └── chi_link_fsm x6   (one per channel per direction)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rPr>
          <w:rStyle w:val="VerbatimChar"/>
        </w:rPr>
        <w:t xml:space="preserve">chi_lcrd_mgr</w:t>
      </w:r>
      <w:r>
        <w:t xml:space="preserve"> </w:t>
      </w:r>
      <w:r>
        <w:t xml:space="preserve">is used by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. Every link block is now inside the</w:t>
      </w:r>
      <w:r>
        <w:t xml:space="preserve"> </w:t>
      </w:r>
      <w:r>
        <w:t xml:space="preserve">product hierarchy; none of them is harness-only.</w:t>
      </w:r>
    </w:p>
    <w:bookmarkEnd w:id="27"/>
    <w:bookmarkStart w:id="28" w:name="handshake-discipline"/>
    <w:p>
      <w:pPr>
        <w:pStyle w:val="Heading2"/>
      </w:pPr>
      <w:r>
        <w:t xml:space="preserve">2.3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2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28"/>
    <w:bookmarkEnd w:id="29"/>
    <w:bookmarkStart w:id="33" w:name="parameters-and-elaboration-constraints"/>
    <w:p>
      <w:pPr>
        <w:pStyle w:val="Heading1"/>
      </w:pPr>
      <w:r>
        <w:t xml:space="preserve">3 Parameters and elaboration constraints</w:t>
      </w:r>
    </w:p>
    <w:bookmarkStart w:id="30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30"/>
    <w:bookmarkStart w:id="31" w:name="top-parameters-and-illegal-combinations"/>
    <w:p>
      <w:pPr>
        <w:pStyle w:val="Heading2"/>
      </w:pPr>
      <w:r>
        <w:t xml:space="preserve">3.2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31"/>
    <w:bookmarkStart w:id="32" w:name="top-level-ports-beyond-the-interfaces"/>
    <w:p>
      <w:pPr>
        <w:pStyle w:val="Heading2"/>
      </w:pPr>
      <w:r>
        <w:t xml:space="preserve">3.3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32"/>
    <w:bookmarkEnd w:id="33"/>
    <w:bookmarkStart w:id="37" w:name="the-single-chi_if-node-facing-interface"/>
    <w:p>
      <w:pPr>
        <w:pStyle w:val="Heading1"/>
      </w:pPr>
      <w:r>
        <w:t xml:space="preserve">4 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3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34"/>
    <w:bookmarkStart w:id="3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35"/>
    <w:bookmarkStart w:id="3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36"/>
    <w:bookmarkEnd w:id="37"/>
    <w:bookmarkStart w:id="43" w:name="X2fe9938731c8eed18a556030bbcfb1970107fb8"/>
    <w:p>
      <w:pPr>
        <w:pStyle w:val="Heading1"/>
      </w:pPr>
      <w:r>
        <w:t xml:space="preserve">5 Topologies, routing, arbitration and progress</w:t>
      </w:r>
    </w:p>
    <w:bookmarkStart w:id="3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38"/>
    <w:bookmarkStart w:id="3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39"/>
    <w:bookmarkStart w:id="4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40"/>
    <w:bookmarkStart w:id="4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41"/>
    <w:bookmarkStart w:id="4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42"/>
    <w:bookmarkEnd w:id="43"/>
    <w:bookmarkStart w:id="48" w:name="system-address-map"/>
    <w:p>
      <w:pPr>
        <w:pStyle w:val="Heading1"/>
      </w:pPr>
      <w:r>
        <w:t xml:space="preserve">6 System Address Map</w:t>
      </w:r>
    </w:p>
    <w:bookmarkStart w:id="44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44"/>
    <w:bookmarkStart w:id="45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45"/>
    <w:bookmarkStart w:id="46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46"/>
    <w:bookmarkStart w:id="47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47"/>
    <w:bookmarkEnd w:id="48"/>
    <w:bookmarkStart w:id="51" w:name="configuration-access"/>
    <w:p>
      <w:pPr>
        <w:pStyle w:val="Heading1"/>
      </w:pPr>
      <w:r>
        <w:t xml:space="preserve">7 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49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49"/>
    <w:bookmarkStart w:id="50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50"/>
    <w:bookmarkEnd w:id="51"/>
    <w:bookmarkStart w:id="60" w:name="transaction-flows"/>
    <w:p>
      <w:pPr>
        <w:pStyle w:val="Heading1"/>
      </w:pPr>
      <w:r>
        <w:t xml:space="preserve">8 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52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52"/>
    <w:bookmarkStart w:id="53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53"/>
    <w:bookmarkStart w:id="54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54"/>
    <w:bookmarkStart w:id="55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55"/>
    <w:bookmarkStart w:id="56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56"/>
    <w:bookmarkStart w:id="57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57"/>
    <w:bookmarkStart w:id="58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58"/>
    <w:bookmarkStart w:id="59" w:name="dvm-sync"/>
    <w:p>
      <w:pPr>
        <w:pStyle w:val="Heading2"/>
      </w:pPr>
      <w:r>
        <w:t xml:space="preserve">8.8 DVM Sync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59"/>
    <w:bookmarkEnd w:id="60"/>
    <w:bookmarkStart w:id="65" w:name="home-node-internals"/>
    <w:p>
      <w:pPr>
        <w:pStyle w:val="Heading1"/>
      </w:pPr>
      <w:r>
        <w:t xml:space="preserve">9 Home Node internals</w:t>
      </w:r>
    </w:p>
    <w:bookmarkStart w:id="61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61"/>
    <w:bookmarkStart w:id="62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62"/>
    <w:bookmarkStart w:id="63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63"/>
    <w:bookmarkStart w:id="64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64"/>
    <w:bookmarkEnd w:id="65"/>
    <w:bookmarkStart w:id="68" w:name="rn-f-boundary-cache-state-model"/>
    <w:p>
      <w:pPr>
        <w:pStyle w:val="Heading1"/>
      </w:pPr>
      <w:r>
        <w:t xml:space="preserve">10 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66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bookmarkEnd w:id="66"/>
    <w:bookmarkStart w:id="67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67"/>
    <w:bookmarkEnd w:id="68"/>
    <w:bookmarkStart w:id="69" w:name="clocking-reset-cdc-and-performance"/>
    <w:p>
      <w:pPr>
        <w:pStyle w:val="Heading1"/>
      </w:pPr>
      <w:r>
        <w:t xml:space="preserve">11 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3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3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3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3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3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69"/>
    <w:bookmarkStart w:id="78" w:name="verification-source-manifest-and-lint"/>
    <w:p>
      <w:pPr>
        <w:pStyle w:val="Heading1"/>
      </w:pPr>
      <w:r>
        <w:t xml:space="preserve">12 Verification, source manifest and lint</w:t>
      </w:r>
    </w:p>
    <w:bookmarkStart w:id="70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70"/>
    <w:bookmarkStart w:id="71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71"/>
    <w:bookmarkStart w:id="72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72"/>
    <w:bookmarkStart w:id="73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73"/>
    <w:bookmarkStart w:id="74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tb/chi_smoke_tb.sv</w:t>
      </w:r>
      <w:r>
        <w:t xml:space="preserve"> </w:t>
      </w:r>
      <w:r>
        <w:t xml:space="preserve">is the simulation top described in Section 12.7. It is</w:t>
      </w:r>
      <w:r>
        <w:t xml:space="preserve"> </w:t>
      </w:r>
      <w:r>
        <w:t xml:space="preserve">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it is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</w:t>
      </w:r>
      <w:r>
        <w:t xml:space="preserve"> </w:t>
      </w:r>
      <w:r>
        <w:t xml:space="preserve">lint, the smoke run and document generation.</w:t>
      </w:r>
    </w:p>
    <w:bookmarkEnd w:id="74"/>
    <w:bookmarkStart w:id="75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75"/>
    <w:bookmarkStart w:id="76" w:name="reset-and-idle-smoke-run"/>
    <w:p>
      <w:pPr>
        <w:pStyle w:val="Heading2"/>
      </w:pPr>
      <w:r>
        <w:t xml:space="preserve">12.7 Reset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3.2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gap. It is</w:t>
      </w:r>
      <w:r>
        <w:t xml:space="preserve"> </w:t>
      </w:r>
      <w:r>
        <w:t xml:space="preserve">not a protocol testbench: it instantiates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, holds</w:t>
      </w:r>
      <w:r>
        <w:t xml:space="preserve"> </w:t>
      </w:r>
      <w:r>
        <w:t xml:space="preserve">synchronous reset for eight cycles, releases it, and runs the idle fabric for</w:t>
      </w:r>
      <w:r>
        <w:t xml:space="preserve"> </w:t>
      </w:r>
      <w:r>
        <w:t xml:space="preserve">512 cycles.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The run fails if any elaboration check calls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if any bound assertion</w:t>
      </w:r>
      <w:r>
        <w:t xml:space="preserve"> </w:t>
      </w:r>
      <w:r>
        <w:t xml:space="preserve">fires out of reset, if the idle fabric presents a snoop flit to an RN-F or a</w:t>
      </w:r>
      <w:r>
        <w:t xml:space="preserve"> </w:t>
      </w:r>
      <w:r>
        <w:t xml:space="preserve">request flit to an SN-F, or if any port reports a flit parity or L-Credit</w:t>
      </w:r>
      <w:r>
        <w:t xml:space="preserve"> </w:t>
      </w:r>
      <w:r>
        <w:t xml:space="preserve">error while no traffic is in flight. Because the elaboration checks execute,</w:t>
      </w:r>
      <w:r>
        <w:t xml:space="preserve"> </w:t>
      </w:r>
      <w:r>
        <w:t xml:space="preserve">this run is what confirms at runtime that the default configuration is legal,</w:t>
      </w:r>
      <w:r>
        <w:t xml:space="preserve"> </w:t>
      </w:r>
      <w:r>
        <w:t xml:space="preserve">that every node has a unique placement, that each NodeID’s routing fields</w:t>
      </w:r>
      <w:r>
        <w:t xml:space="preserve"> </w:t>
      </w:r>
      <w:r>
        <w:t xml:space="preserve">decode back to the placement that produced it, and that all four derived flit</w:t>
      </w:r>
      <w:r>
        <w:t xml:space="preserve"> </w:t>
      </w:r>
      <w:r>
        <w:t xml:space="preserve">widths fall inside the Issue H ranges.</w:t>
      </w:r>
    </w:p>
    <w:p>
      <w:pPr>
        <w:pStyle w:val="BodyText"/>
      </w:pPr>
      <w:r>
        <w:t xml:space="preserve">The node count is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 as a</w:t>
      </w:r>
      <w:r>
        <w:t xml:space="preserve"> </w:t>
      </w:r>
      <w:r>
        <w:t xml:space="preserve">literal, so the testbench follows a reconfigured node list without edits.</w:t>
      </w:r>
    </w:p>
    <w:bookmarkEnd w:id="76"/>
    <w:bookmarkStart w:id="77" w:name="regenerating-this-document"/>
    <w:p>
      <w:pPr>
        <w:pStyle w:val="Heading2"/>
      </w:pPr>
      <w:r>
        <w:t xml:space="preserve">12.8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77"/>
    <w:bookmarkEnd w:id="78"/>
    <w:bookmarkStart w:id="81" w:name="X5bf108ade8508cab34b28d325ecb3ab81501255"/>
    <w:p>
      <w:pPr>
        <w:pStyle w:val="Heading1"/>
      </w:pPr>
      <w:r>
        <w:t xml:space="preserve">13 Open issues, known limitations and decisions</w:t>
      </w:r>
    </w:p>
    <w:bookmarkStart w:id="79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4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4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4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4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4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4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4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4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4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4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4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4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79"/>
    <w:bookmarkStart w:id="80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2026-09-12T17:57:39Z</dcterms:created>
  <dcterms:modified xsi:type="dcterms:W3CDTF">2026-09-12T17:57:39Z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Specification</vt:lpwstr>
  </property>
</Properties>
</file>