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4F46E5"/>
          <w:sz w:val="56"/>
          <w:szCs w:val="56"/>
        </w:rPr>
        <w:t xml:space="preserve">TrustWork X</w:t>
      </w:r>
    </w:p>
    <w:p>
      <w:pPr>
        <w:spacing w:after="60" w:before="0"/>
      </w:pPr>
      <w:r>
        <w:rPr>
          <w:rFonts w:ascii="Arial" w:cs="Arial" w:eastAsia="Arial" w:hAnsi="Arial"/>
          <w:color w:val="374151"/>
          <w:sz w:val="30"/>
          <w:szCs w:val="30"/>
        </w:rPr>
        <w:t xml:space="preserve">Tech Stack Recommendation for Hackathon MVP</w:t>
      </w:r>
    </w:p>
    <w:p>
      <w:pPr>
        <w:spacing w:after="40" w:before="0"/>
      </w:pPr>
      <w:r>
        <w:rPr>
          <w:rFonts w:ascii="Arial" w:cs="Arial" w:eastAsia="Arial" w:hAnsi="Arial"/>
          <w:color w:val="6B7280"/>
          <w:sz w:val="20"/>
          <w:szCs w:val="20"/>
        </w:rPr>
        <w:t xml:space="preserve">AI-Powered Decentralised Reputation Graph  ·  Web3 Freelance Platform  ·  Build Target: 24–36 hrs</w:t>
      </w:r>
    </w:p>
    <w:p>
      <w:pPr>
        <w:pBdr>
          <w:bottom w:val="single" w:color="4F46E5" w:sz="6" w:space="4"/>
        </w:pBdr>
        <w:spacing w:after="60" w:before="0"/>
      </w:pPr>
      <w:r>
        <w:rPr>
          <w:rFonts w:ascii="Arial" w:cs="Arial" w:eastAsia="Arial" w:hAnsi="Arial"/>
          <w:color w:val="6B7280"/>
          <w:sz w:val="20"/>
          <w:szCs w:val="20"/>
        </w:rPr>
        <w:t xml:space="preserve">Prepared for Antigravity  ·  2026</w:t>
      </w:r>
    </w:p>
    <w:p>
      <w:pPr>
        <w:spacing w:after="0" w:before="160"/>
      </w:pPr>
      <w:r>
        <w:rPr>
          <w:sz w:val="20"/>
          <w:szCs w:val="20"/>
        </w:rPr>
        <w:t xml:space="preserve"/>
      </w:r>
    </w:p>
    <w:p>
      <w:pPr>
        <w:pStyle w:val="Heading1"/>
        <w:pBdr>
          <w:bottom w:val="single" w:color="4F46E5" w:sz="6" w:space="4"/>
        </w:pBdr>
        <w:spacing w:after="160" w:before="320"/>
      </w:pPr>
      <w:r>
        <w:rPr>
          <w:rFonts w:ascii="Arial" w:cs="Arial" w:eastAsia="Arial" w:hAnsi="Arial"/>
          <w:b/>
          <w:bCs/>
          <w:color w:val="4F46E5"/>
          <w:sz w:val="36"/>
          <w:szCs w:val="36"/>
        </w:rPr>
        <w:t xml:space="preserve">1. Overview</w:t>
      </w:r>
    </w:p>
    <w:p>
      <w:pPr>
        <w:spacing w:after="60" w:before="60"/>
        <w:jc w:val="both"/>
      </w:pPr>
      <w:r>
        <w:rPr>
          <w:rFonts w:ascii="Arial" w:cs="Arial" w:eastAsia="Arial" w:hAnsi="Arial"/>
          <w:color w:val="374151"/>
          <w:sz w:val="22"/>
          <w:szCs w:val="22"/>
        </w:rPr>
        <w:t xml:space="preserve">TrustWork X is a Web3-native freelance platform combining AI-powered skill verification, soulbound NFT reputation passports, and smart contract escrow. The goal is to build a fully working, demoable MVP in 24–36 hours at a hackathon, using a modern stack that scales cleanly into a funded startup.</w:t>
      </w:r>
    </w:p>
    <w:p>
      <w:pPr>
        <w:spacing w:after="0" w:before="60"/>
      </w:pPr>
      <w:r>
        <w:rPr>
          <w:sz w:val="20"/>
          <w:szCs w:val="20"/>
        </w:rPr>
        <w:t xml:space="preserve"/>
      </w:r>
    </w:p>
    <w:p>
      <w:pPr>
        <w:spacing w:after="60" w:before="60"/>
        <w:jc w:val="both"/>
      </w:pPr>
      <w:r>
        <w:rPr>
          <w:rFonts w:ascii="Arial" w:cs="Arial" w:eastAsia="Arial" w:hAnsi="Arial"/>
          <w:color w:val="374151"/>
          <w:sz w:val="22"/>
          <w:szCs w:val="22"/>
        </w:rPr>
        <w:t xml:space="preserve">This document outlines every tool chosen, why it was selected over alternatives, and exactly how the pieces connect at runtime.</w:t>
      </w:r>
    </w:p>
    <w:p>
      <w:pPr>
        <w:spacing w:after="0" w:before="120"/>
      </w:pPr>
      <w:r>
        <w:rPr>
          <w:sz w:val="20"/>
          <w:szCs w:val="20"/>
        </w:rPr>
        <w:t xml:space="preserve"/>
      </w:r>
    </w:p>
    <w:p>
      <w:pPr>
        <w:pStyle w:val="Heading1"/>
        <w:pBdr>
          <w:bottom w:val="single" w:color="4F46E5" w:sz="6" w:space="4"/>
        </w:pBdr>
        <w:spacing w:after="160" w:before="320"/>
      </w:pPr>
      <w:r>
        <w:rPr>
          <w:rFonts w:ascii="Arial" w:cs="Arial" w:eastAsia="Arial" w:hAnsi="Arial"/>
          <w:b/>
          <w:bCs/>
          <w:color w:val="4F46E5"/>
          <w:sz w:val="36"/>
          <w:szCs w:val="36"/>
        </w:rPr>
        <w:t xml:space="preserve">2. Final Recommended Stack</w:t>
      </w:r>
    </w:p>
    <w:p>
      <w:pPr>
        <w:spacing w:after="60" w:before="60"/>
        <w:jc w:val="both"/>
      </w:pPr>
      <w:r>
        <w:rPr>
          <w:rFonts w:ascii="Arial" w:cs="Arial" w:eastAsia="Arial" w:hAnsi="Arial"/>
          <w:color w:val="374151"/>
          <w:sz w:val="22"/>
          <w:szCs w:val="22"/>
        </w:rPr>
        <w:t xml:space="preserve">Click or read the table below — each row is one layer of the system.</w:t>
      </w:r>
    </w:p>
    <w:p>
      <w:pPr>
        <w:spacing w:after="0"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D1D5DB" w:sz="4"/>
              <w:left w:val="single" w:color="D1D5DB" w:sz="4"/>
              <w:bottom w:val="single" w:color="D1D5DB" w:sz="4"/>
              <w:right w:val="single" w:color="D1D5DB" w:sz="4"/>
            </w:tcBorders>
            <w:shd w:fill="4F46E5" w:val="clear"/>
            <w:tcMar>
              <w:top w:type="dxa" w:w="100"/>
              <w:left w:type="dxa" w:w="120"/>
              <w:bottom w:type="dxa" w:w="100"/>
              <w:right w:type="dxa" w:w="120"/>
            </w:tcMar>
            <w:vAlign w:val="center"/>
          </w:tcPr>
          <w:p>
            <w:r>
              <w:rPr>
                <w:rFonts w:ascii="Arial" w:cs="Arial" w:eastAsia="Arial" w:hAnsi="Arial"/>
                <w:b/>
                <w:bCs/>
                <w:color w:val="FFFFFF"/>
                <w:sz w:val="22"/>
                <w:szCs w:val="22"/>
              </w:rPr>
              <w:t xml:space="preserve">Layer</w:t>
            </w:r>
          </w:p>
        </w:tc>
        <w:tc>
          <w:tcPr>
            <w:tcW w:type="dxa" w:w="2200"/>
            <w:tcBorders>
              <w:top w:val="single" w:color="D1D5DB" w:sz="4"/>
              <w:left w:val="single" w:color="D1D5DB" w:sz="4"/>
              <w:bottom w:val="single" w:color="D1D5DB" w:sz="4"/>
              <w:right w:val="single" w:color="D1D5DB" w:sz="4"/>
            </w:tcBorders>
            <w:shd w:fill="4F46E5" w:val="clear"/>
            <w:tcMar>
              <w:top w:type="dxa" w:w="100"/>
              <w:left w:type="dxa" w:w="120"/>
              <w:bottom w:type="dxa" w:w="100"/>
              <w:right w:type="dxa" w:w="120"/>
            </w:tcMar>
            <w:vAlign w:val="center"/>
          </w:tcPr>
          <w:p>
            <w:r>
              <w:rPr>
                <w:rFonts w:ascii="Arial" w:cs="Arial" w:eastAsia="Arial" w:hAnsi="Arial"/>
                <w:b/>
                <w:bCs/>
                <w:color w:val="FFFFFF"/>
                <w:sz w:val="22"/>
                <w:szCs w:val="22"/>
              </w:rPr>
              <w:t xml:space="preserve">Tool / Library</w:t>
            </w:r>
          </w:p>
        </w:tc>
        <w:tc>
          <w:tcPr>
            <w:tcW w:type="dxa" w:w="5560"/>
            <w:tcBorders>
              <w:top w:val="single" w:color="D1D5DB" w:sz="4"/>
              <w:left w:val="single" w:color="D1D5DB" w:sz="4"/>
              <w:bottom w:val="single" w:color="D1D5DB" w:sz="4"/>
              <w:right w:val="single" w:color="D1D5DB" w:sz="4"/>
            </w:tcBorders>
            <w:shd w:fill="4F46E5" w:val="clear"/>
            <w:tcMar>
              <w:top w:type="dxa" w:w="100"/>
              <w:left w:type="dxa" w:w="120"/>
              <w:bottom w:type="dxa" w:w="100"/>
              <w:right w:type="dxa" w:w="120"/>
            </w:tcMar>
            <w:vAlign w:val="center"/>
          </w:tcPr>
          <w:p>
            <w:r>
              <w:rPr>
                <w:rFonts w:ascii="Arial" w:cs="Arial" w:eastAsia="Arial" w:hAnsi="Arial"/>
                <w:b/>
                <w:bCs/>
                <w:color w:val="FFFFFF"/>
                <w:sz w:val="22"/>
                <w:szCs w:val="22"/>
              </w:rPr>
              <w:t xml:space="preserve">Why Chosen</w:t>
            </w:r>
          </w:p>
        </w:tc>
      </w:tr>
      <w:tr>
        <w:trPr>
          <w:tblHeader w:val="false"/>
        </w:trPr>
        <w:tc>
          <w:tcPr>
            <w:tcW w:type="dxa" w:w="16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Frontend</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Next.js 14 + Tailwind CSS</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Full-stack React framework — pages, routing, and API routes in one project. Tailwind for fast styling.</w:t>
            </w:r>
          </w:p>
        </w:tc>
      </w:tr>
      <w:tr>
        <w:trPr>
          <w:tblHeader w:val="false"/>
        </w:trPr>
        <w:tc>
          <w:tcPr>
            <w:tcW w:type="dxa" w:w="16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Wallet Connect</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RainbowKit + wagmi</w:t>
            </w:r>
          </w:p>
        </w:tc>
        <w:tc>
          <w:tcPr>
            <w:tcW w:type="dxa" w:w="55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RainbowKit = the wallet popup UI. wagmi = React hooks for reading/writing smart contracts.</w:t>
            </w:r>
          </w:p>
        </w:tc>
      </w:tr>
      <w:tr>
        <w:trPr>
          <w:tblHeader w:val="false"/>
        </w:trPr>
        <w:tc>
          <w:tcPr>
            <w:tcW w:type="dxa" w:w="16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Backend</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Node.js + Express</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Handles Claude API calls, SIWE verification, DB writes, and contract calls. Runs on Railway.</w:t>
            </w:r>
          </w:p>
        </w:tc>
      </w:tr>
      <w:tr>
        <w:trPr>
          <w:tblHeader w:val="false"/>
        </w:trPr>
        <w:tc>
          <w:tcPr>
            <w:tcW w:type="dxa" w:w="16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ORM</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Prisma</w:t>
            </w:r>
          </w:p>
        </w:tc>
        <w:tc>
          <w:tcPr>
            <w:tcW w:type="dxa" w:w="55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Type-safe database client. Define schema in one file; auto-generates migrations and a fully-typed query API.</w:t>
            </w:r>
          </w:p>
        </w:tc>
      </w:tr>
      <w:tr>
        <w:trPr>
          <w:tblHeader w:val="false"/>
        </w:trPr>
        <w:tc>
          <w:tcPr>
            <w:tcW w:type="dxa" w:w="16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Authentication</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SIWE + JWT</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Sign-In With Ethereum (EIP-4361). User signs a message with their wallet — no password ever stored.</w:t>
            </w:r>
          </w:p>
        </w:tc>
      </w:tr>
      <w:tr>
        <w:trPr>
          <w:tblHeader w:val="false"/>
        </w:trPr>
        <w:tc>
          <w:tcPr>
            <w:tcW w:type="dxa" w:w="16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Blockchain</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Polygon Mumbai → Mainnet</w:t>
            </w:r>
          </w:p>
        </w:tc>
        <w:tc>
          <w:tcPr>
            <w:tcW w:type="dxa" w:w="55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Fast (~2s blocks), cheap gas, Ethereum-compatible. Mumbai is the free testnet for hackathon.</w:t>
            </w:r>
          </w:p>
        </w:tc>
      </w:tr>
      <w:tr>
        <w:trPr>
          <w:tblHeader w:val="false"/>
        </w:trPr>
        <w:tc>
          <w:tcPr>
            <w:tcW w:type="dxa" w:w="16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Smart Contracts</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Solidity + Hardhat + OpenZeppelin</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Solidity = contract language. Hardhat = compile/test/deploy toolchain. OpenZeppelin = secure ERC-721 base.</w:t>
            </w:r>
          </w:p>
        </w:tc>
      </w:tr>
      <w:tr>
        <w:trPr>
          <w:tblHeader w:val="false"/>
        </w:trPr>
        <w:tc>
          <w:tcPr>
            <w:tcW w:type="dxa" w:w="16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AI Engine</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Claude API (Anthropic)</w:t>
            </w:r>
          </w:p>
        </w:tc>
        <w:tc>
          <w:tcPr>
            <w:tcW w:type="dxa" w:w="55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Powers challenge generation, skill grading (4-dimension rubric), and dispute arbitration. Backend-only.</w:t>
            </w:r>
          </w:p>
        </w:tc>
      </w:tr>
      <w:tr>
        <w:trPr>
          <w:tblHeader w:val="false"/>
        </w:trPr>
        <w:tc>
          <w:tcPr>
            <w:tcW w:type="dxa" w:w="16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Off-Chain DB</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Supabase (PostgreSQL)</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Hosted Postgres with free tier. Stores jobs, users, challenges, SIWE nonces.</w:t>
            </w:r>
          </w:p>
        </w:tc>
      </w:tr>
      <w:tr>
        <w:trPr>
          <w:tblHeader w:val="false"/>
        </w:trPr>
        <w:tc>
          <w:tcPr>
            <w:tcW w:type="dxa" w:w="16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Decentralised Storage</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Pinata (IPFS)</w:t>
            </w:r>
          </w:p>
        </w:tc>
        <w:tc>
          <w:tcPr>
            <w:tcW w:type="dxa" w:w="55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NFT metadata (scores, job history) stored on IPFS. Only the CID hash lives on-chain — keeps gas low.</w:t>
            </w:r>
          </w:p>
        </w:tc>
      </w:tr>
      <w:tr>
        <w:trPr>
          <w:tblHeader w:val="false"/>
        </w:trPr>
        <w:tc>
          <w:tcPr>
            <w:tcW w:type="dxa" w:w="16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Frontend Deploy</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Vercel</w:t>
            </w:r>
          </w:p>
        </w:tc>
        <w:tc>
          <w:tcPr>
            <w:tcW w:type="dxa" w:w="556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1-click deploy for Next.js. Push to GitHub, it goes live automatically.</w:t>
            </w:r>
          </w:p>
        </w:tc>
      </w:tr>
      <w:tr>
        <w:trPr>
          <w:tblHeader w:val="false"/>
        </w:trPr>
        <w:tc>
          <w:tcPr>
            <w:tcW w:type="dxa" w:w="16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Backend Deploy</w:t>
            </w:r>
          </w:p>
        </w:tc>
        <w:tc>
          <w:tcPr>
            <w:tcW w:type="dxa" w:w="22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Railway</w:t>
            </w:r>
          </w:p>
        </w:tc>
        <w:tc>
          <w:tcPr>
            <w:tcW w:type="dxa" w:w="55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r>
              <w:rPr>
                <w:rFonts w:ascii="Arial" w:cs="Arial" w:eastAsia="Arial" w:hAnsi="Arial"/>
                <w:b w:val="false"/>
                <w:bCs w:val="false"/>
                <w:color w:val="374151"/>
                <w:sz w:val="20"/>
                <w:szCs w:val="20"/>
              </w:rPr>
              <w:t xml:space="preserve">1-click Node.js hosting. Set .env variables, connect GitHub, done.</w:t>
            </w:r>
          </w:p>
        </w:tc>
      </w:tr>
    </w:tbl>
    <w:p>
      <w:pPr>
        <w:spacing w:after="0" w:before="200"/>
      </w:pPr>
      <w:r>
        <w:rPr>
          <w:sz w:val="20"/>
          <w:szCs w:val="20"/>
        </w:rPr>
        <w:t xml:space="preserve"/>
      </w:r>
    </w:p>
    <w:p>
      <w:pPr>
        <w:pStyle w:val="Heading1"/>
        <w:pBdr>
          <w:bottom w:val="single" w:color="4F46E5" w:sz="6" w:space="4"/>
        </w:pBdr>
        <w:spacing w:after="160" w:before="320"/>
      </w:pPr>
      <w:r>
        <w:rPr>
          <w:rFonts w:ascii="Arial" w:cs="Arial" w:eastAsia="Arial" w:hAnsi="Arial"/>
          <w:b/>
          <w:bCs/>
          <w:color w:val="4F46E5"/>
          <w:sz w:val="36"/>
          <w:szCs w:val="36"/>
        </w:rPr>
        <w:t xml:space="preserve">3. Tool-by-Tool Explanation</w:t>
      </w:r>
    </w:p>
    <w:p>
      <w:pPr>
        <w:pStyle w:val="Heading2"/>
        <w:spacing w:after="120" w:before="280"/>
      </w:pPr>
      <w:r>
        <w:rPr>
          <w:rFonts w:ascii="Arial" w:cs="Arial" w:eastAsia="Arial" w:hAnsi="Arial"/>
          <w:b/>
          <w:bCs/>
          <w:color w:val="374151"/>
          <w:sz w:val="26"/>
          <w:szCs w:val="26"/>
        </w:rPr>
        <w:t xml:space="preserve">3.1  Frontend</w:t>
      </w:r>
    </w:p>
    <w:p>
      <w:pPr>
        <w:pStyle w:val="Heading3"/>
        <w:spacing w:after="80" w:before="200"/>
      </w:pPr>
      <w:r>
        <w:rPr>
          <w:rFonts w:ascii="Arial" w:cs="Arial" w:eastAsia="Arial" w:hAnsi="Arial"/>
          <w:b/>
          <w:bCs/>
          <w:color w:val="4F46E5"/>
          <w:sz w:val="24"/>
          <w:szCs w:val="24"/>
        </w:rPr>
        <w:t xml:space="preserve">Next.js 14 (App Router)</w:t>
      </w:r>
    </w:p>
    <w:p>
      <w:pPr>
        <w:spacing w:after="60" w:before="60"/>
        <w:jc w:val="both"/>
      </w:pPr>
      <w:r>
        <w:rPr>
          <w:rFonts w:ascii="Arial" w:cs="Arial" w:eastAsia="Arial" w:hAnsi="Arial"/>
          <w:color w:val="374151"/>
          <w:sz w:val="22"/>
          <w:szCs w:val="22"/>
        </w:rPr>
        <w:t xml:space="preserve">Your entire website lives here — the landing page, the skill challenge screen, the freelancer profile, the job board, and the client dashboard. Next.js is React under the hood but adds two things that matter for this project: file-based routing (create a file, get a page) and the ability to run server-side code inside the same project. This means you do not need a separate backend just for server rendering.</w:t>
      </w:r>
    </w:p>
    <w:p>
      <w:pPr>
        <w:pStyle w:val="ListParagraph"/>
        <w:numPr>
          <w:ilvl w:val="0"/>
          <w:numId w:val="2"/>
        </w:numPr>
        <w:spacing w:after="40" w:before="40"/>
      </w:pPr>
      <w:r>
        <w:rPr>
          <w:rFonts w:ascii="Arial" w:cs="Arial" w:eastAsia="Arial" w:hAnsi="Arial"/>
          <w:color w:val="374151"/>
          <w:sz w:val="22"/>
          <w:szCs w:val="22"/>
        </w:rPr>
        <w:t xml:space="preserve">Use the App Router (the app/ directory), not the older pages/ directory.</w:t>
      </w:r>
    </w:p>
    <w:p>
      <w:pPr>
        <w:pStyle w:val="ListParagraph"/>
        <w:numPr>
          <w:ilvl w:val="0"/>
          <w:numId w:val="2"/>
        </w:numPr>
        <w:spacing w:after="40" w:before="40"/>
      </w:pPr>
      <w:r>
        <w:rPr>
          <w:rFonts w:ascii="Arial" w:cs="Arial" w:eastAsia="Arial" w:hAnsi="Arial"/>
          <w:color w:val="374151"/>
          <w:sz w:val="22"/>
          <w:szCs w:val="22"/>
        </w:rPr>
        <w:t xml:space="preserve">Alternative: plain Vite + React. It works but you lose SSR and API routes, which means more setup.</w:t>
      </w:r>
    </w:p>
    <w:p>
      <w:pPr>
        <w:spacing w:after="0" w:before="60"/>
      </w:pPr>
      <w:r>
        <w:rPr>
          <w:sz w:val="20"/>
          <w:szCs w:val="20"/>
        </w:rPr>
        <w:t xml:space="preserve"/>
      </w:r>
    </w:p>
    <w:p>
      <w:pPr>
        <w:pStyle w:val="Heading3"/>
        <w:spacing w:after="80" w:before="200"/>
      </w:pPr>
      <w:r>
        <w:rPr>
          <w:rFonts w:ascii="Arial" w:cs="Arial" w:eastAsia="Arial" w:hAnsi="Arial"/>
          <w:b/>
          <w:bCs/>
          <w:color w:val="4F46E5"/>
          <w:sz w:val="24"/>
          <w:szCs w:val="24"/>
        </w:rPr>
        <w:t xml:space="preserve">Tailwind CSS</w:t>
      </w:r>
    </w:p>
    <w:p>
      <w:pPr>
        <w:spacing w:after="60" w:before="60"/>
        <w:jc w:val="both"/>
      </w:pPr>
      <w:r>
        <w:rPr>
          <w:rFonts w:ascii="Arial" w:cs="Arial" w:eastAsia="Arial" w:hAnsi="Arial"/>
          <w:color w:val="374151"/>
          <w:sz w:val="22"/>
          <w:szCs w:val="22"/>
        </w:rPr>
        <w:t xml:space="preserve">Style your components by adding class names directly in JSX. No separate CSS files to maintain. For example: className="bg-indigo-600 text-white rounded-xl px-4 py-2". This is the fastest way to build a polished UI under time pressure.</w:t>
      </w:r>
    </w:p>
    <w:p>
      <w:pPr>
        <w:pStyle w:val="ListParagraph"/>
        <w:numPr>
          <w:ilvl w:val="0"/>
          <w:numId w:val="2"/>
        </w:numPr>
        <w:spacing w:after="40" w:before="40"/>
      </w:pPr>
      <w:r>
        <w:rPr>
          <w:rFonts w:ascii="Arial" w:cs="Arial" w:eastAsia="Arial" w:hAnsi="Arial"/>
          <w:color w:val="374151"/>
          <w:sz w:val="22"/>
          <w:szCs w:val="22"/>
        </w:rPr>
        <w:t xml:space="preserve">Shadcn/ui is a good companion library — it gives you pre-built Tailwind components like modals, buttons, and form fields.</w:t>
      </w:r>
    </w:p>
    <w:p>
      <w:pPr>
        <w:spacing w:after="0" w:before="60"/>
      </w:pPr>
      <w:r>
        <w:rPr>
          <w:sz w:val="20"/>
          <w:szCs w:val="20"/>
        </w:rPr>
        <w:t xml:space="preserve"/>
      </w:r>
    </w:p>
    <w:p>
      <w:pPr>
        <w:pStyle w:val="Heading3"/>
        <w:spacing w:after="80" w:before="200"/>
      </w:pPr>
      <w:r>
        <w:rPr>
          <w:rFonts w:ascii="Arial" w:cs="Arial" w:eastAsia="Arial" w:hAnsi="Arial"/>
          <w:b/>
          <w:bCs/>
          <w:color w:val="4F46E5"/>
          <w:sz w:val="24"/>
          <w:szCs w:val="24"/>
        </w:rPr>
        <w:t xml:space="preserve">RainbowKit + wagmi</w:t>
      </w:r>
    </w:p>
    <w:p>
      <w:pPr>
        <w:spacing w:after="60" w:before="60"/>
        <w:jc w:val="both"/>
      </w:pPr>
      <w:r>
        <w:rPr>
          <w:rFonts w:ascii="Arial" w:cs="Arial" w:eastAsia="Arial" w:hAnsi="Arial"/>
          <w:color w:val="374151"/>
          <w:sz w:val="22"/>
          <w:szCs w:val="22"/>
        </w:rPr>
        <w:t xml:space="preserve">RainbowKit is the wallet connection modal — the popup that shows MetaMask, WalletConnect, and Coinbase Wallet options when the user clicks Connect. wagmi is the React hooks library underneath it. With wagmi you can call a smart contract function in 3 lines of code using hooks like useContractWrite() and useContractRead().</w:t>
      </w:r>
    </w:p>
    <w:p>
      <w:pPr>
        <w:pStyle w:val="ListParagraph"/>
        <w:numPr>
          <w:ilvl w:val="0"/>
          <w:numId w:val="2"/>
        </w:numPr>
        <w:spacing w:after="40" w:before="40"/>
      </w:pPr>
      <w:r>
        <w:rPr>
          <w:rFonts w:ascii="Arial" w:cs="Arial" w:eastAsia="Arial" w:hAnsi="Arial"/>
          <w:color w:val="374151"/>
          <w:sz w:val="22"/>
          <w:szCs w:val="22"/>
        </w:rPr>
        <w:t xml:space="preserve">Alternative: ConnectKit — a simpler wallet modal that uses the same wagmi hooks underneath. Good fallback.</w:t>
      </w:r>
    </w:p>
    <w:p>
      <w:pPr>
        <w:spacing w:after="0" w:before="120"/>
      </w:pPr>
      <w:r>
        <w:rPr>
          <w:sz w:val="20"/>
          <w:szCs w:val="20"/>
        </w:rPr>
        <w:t xml:space="preserve"/>
      </w:r>
    </w:p>
    <w:p>
      <w:pPr>
        <w:pStyle w:val="Heading2"/>
        <w:spacing w:after="120" w:before="280"/>
      </w:pPr>
      <w:r>
        <w:rPr>
          <w:rFonts w:ascii="Arial" w:cs="Arial" w:eastAsia="Arial" w:hAnsi="Arial"/>
          <w:b/>
          <w:bCs/>
          <w:color w:val="374151"/>
          <w:sz w:val="26"/>
          <w:szCs w:val="26"/>
        </w:rPr>
        <w:t xml:space="preserve">3.2  Backend</w:t>
      </w:r>
    </w:p>
    <w:p>
      <w:pPr>
        <w:pStyle w:val="Heading3"/>
        <w:spacing w:after="80" w:before="200"/>
      </w:pPr>
      <w:r>
        <w:rPr>
          <w:rFonts w:ascii="Arial" w:cs="Arial" w:eastAsia="Arial" w:hAnsi="Arial"/>
          <w:b/>
          <w:bCs/>
          <w:color w:val="4F46E5"/>
          <w:sz w:val="24"/>
          <w:szCs w:val="24"/>
        </w:rPr>
        <w:t xml:space="preserve">Node.js + Express</w:t>
      </w:r>
    </w:p>
    <w:p>
      <w:pPr>
        <w:spacing w:after="60" w:before="60"/>
        <w:jc w:val="both"/>
      </w:pPr>
      <w:r>
        <w:rPr>
          <w:rFonts w:ascii="Arial" w:cs="Arial" w:eastAsia="Arial" w:hAnsi="Arial"/>
          <w:color w:val="374151"/>
          <w:sz w:val="22"/>
          <w:szCs w:val="22"/>
        </w:rPr>
        <w:t xml:space="preserve">Your API server. It handles four critical jobs: (1) calling Claude API for skill challenges and grading, (2) verifying SIWE wallet signatures and issuing JWTs, (3) reading and writing to your Supabase database via Prisma, and (4) minting NFTs by calling your smart contracts via ethers.js. It runs on Railway.</w:t>
      </w:r>
    </w:p>
    <w:p>
      <w:pPr>
        <w:pStyle w:val="ListParagraph"/>
        <w:numPr>
          <w:ilvl w:val="0"/>
          <w:numId w:val="2"/>
        </w:numPr>
        <w:spacing w:after="40" w:before="40"/>
      </w:pPr>
      <w:r>
        <w:rPr>
          <w:rFonts w:ascii="Arial" w:cs="Arial" w:eastAsia="Arial" w:hAnsi="Arial"/>
          <w:color w:val="374151"/>
          <w:sz w:val="22"/>
          <w:szCs w:val="22"/>
        </w:rPr>
        <w:t xml:space="preserve">Alternative: Use Next.js API Routes (route.ts files in the app/ directory). This saves you running a separate server and is slightly faster to set up for a hackathon.</w:t>
      </w:r>
    </w:p>
    <w:p>
      <w:pPr>
        <w:spacing w:after="0" w:before="60"/>
      </w:pPr>
      <w:r>
        <w:rPr>
          <w:sz w:val="20"/>
          <w:szCs w:val="20"/>
        </w:rPr>
        <w:t xml:space="preserve"/>
      </w:r>
    </w:p>
    <w:p>
      <w:pPr>
        <w:pStyle w:val="Heading3"/>
        <w:spacing w:after="80" w:before="200"/>
      </w:pPr>
      <w:r>
        <w:rPr>
          <w:rFonts w:ascii="Arial" w:cs="Arial" w:eastAsia="Arial" w:hAnsi="Arial"/>
          <w:b/>
          <w:bCs/>
          <w:color w:val="4F46E5"/>
          <w:sz w:val="24"/>
          <w:szCs w:val="24"/>
        </w:rPr>
        <w:t xml:space="preserve">Prisma ORM</w:t>
      </w:r>
    </w:p>
    <w:p>
      <w:pPr>
        <w:spacing w:after="60" w:before="60"/>
        <w:jc w:val="both"/>
      </w:pPr>
      <w:r>
        <w:rPr>
          <w:rFonts w:ascii="Arial" w:cs="Arial" w:eastAsia="Arial" w:hAnsi="Arial"/>
          <w:color w:val="374151"/>
          <w:sz w:val="22"/>
          <w:szCs w:val="22"/>
        </w:rPr>
        <w:t xml:space="preserve">Prisma lets you define your database tables in a single schema.prisma file, then auto-generates a fully type-safe database client. You never write raw SQL. When you add a table, run one command and Prisma handles the migration. This is especially valuable under hackathon time pressure.</w:t>
      </w:r>
    </w:p>
    <w:p>
      <w:pPr>
        <w:pStyle w:val="ListParagraph"/>
        <w:numPr>
          <w:ilvl w:val="0"/>
          <w:numId w:val="2"/>
        </w:numPr>
        <w:spacing w:after="40" w:before="40"/>
      </w:pPr>
      <w:r>
        <w:rPr>
          <w:rFonts w:ascii="Arial" w:cs="Arial" w:eastAsia="Arial" w:hAnsi="Arial"/>
          <w:color w:val="374151"/>
          <w:sz w:val="22"/>
          <w:szCs w:val="22"/>
        </w:rPr>
        <w:t xml:space="preserve">Alternative: Drizzle ORM — even lighter-weight, equally good. Either works.</w:t>
      </w:r>
    </w:p>
    <w:p>
      <w:pPr>
        <w:spacing w:after="0" w:before="60"/>
      </w:pPr>
      <w:r>
        <w:rPr>
          <w:sz w:val="20"/>
          <w:szCs w:val="20"/>
        </w:rPr>
        <w:t xml:space="preserve"/>
      </w:r>
    </w:p>
    <w:p>
      <w:pPr>
        <w:pStyle w:val="Heading3"/>
        <w:spacing w:after="80" w:before="200"/>
      </w:pPr>
      <w:r>
        <w:rPr>
          <w:rFonts w:ascii="Arial" w:cs="Arial" w:eastAsia="Arial" w:hAnsi="Arial"/>
          <w:b/>
          <w:bCs/>
          <w:color w:val="4F46E5"/>
          <w:sz w:val="24"/>
          <w:szCs w:val="24"/>
        </w:rPr>
        <w:t xml:space="preserve">SIWE + JWT (Authentication)</w:t>
      </w:r>
    </w:p>
    <w:p>
      <w:pPr>
        <w:spacing w:after="60" w:before="60"/>
        <w:jc w:val="both"/>
      </w:pPr>
      <w:r>
        <w:rPr>
          <w:rFonts w:ascii="Arial" w:cs="Arial" w:eastAsia="Arial" w:hAnsi="Arial"/>
          <w:color w:val="374151"/>
          <w:sz w:val="22"/>
          <w:szCs w:val="22"/>
        </w:rPr>
        <w:t xml:space="preserve">Sign-In With Ethereum (EIP-4361) is the Web3 authentication standard. The flow is: user clicks Connect, signs a message with their wallet, your backend verifies that signature cryptographically, then issues a JWT (JSON Web Token) valid for 24 hours. The user is now authenticated — no email, no password, no database of credentials.</w:t>
      </w:r>
    </w:p>
    <w:p>
      <w:pPr>
        <w:pStyle w:val="ListParagraph"/>
        <w:numPr>
          <w:ilvl w:val="0"/>
          <w:numId w:val="2"/>
        </w:numPr>
        <w:spacing w:after="40" w:before="40"/>
      </w:pPr>
      <w:r>
        <w:rPr>
          <w:rFonts w:ascii="Arial" w:cs="Arial" w:eastAsia="Arial" w:hAnsi="Arial"/>
          <w:color w:val="374151"/>
          <w:sz w:val="22"/>
          <w:szCs w:val="22"/>
        </w:rPr>
        <w:t xml:space="preserve">The SIWE nonce must be fresh per request to prevent replay attacks. Generate a random string, store it in Supabase, and invalidate it after use.</w:t>
      </w:r>
    </w:p>
    <w:p>
      <w:pPr>
        <w:pStyle w:val="ListParagraph"/>
        <w:numPr>
          <w:ilvl w:val="0"/>
          <w:numId w:val="2"/>
        </w:numPr>
        <w:spacing w:after="40" w:before="40"/>
      </w:pPr>
      <w:r>
        <w:rPr>
          <w:rFonts w:ascii="Arial" w:cs="Arial" w:eastAsia="Arial" w:hAnsi="Arial"/>
          <w:color w:val="374151"/>
          <w:sz w:val="22"/>
          <w:szCs w:val="22"/>
        </w:rPr>
        <w:t xml:space="preserve">This is not optional — without SIWE, any wallet address can claim to be any user.</w:t>
      </w:r>
    </w:p>
    <w:p>
      <w:pPr>
        <w:spacing w:after="0" w:before="120"/>
      </w:pPr>
      <w:r>
        <w:rPr>
          <w:sz w:val="20"/>
          <w:szCs w:val="20"/>
        </w:rPr>
        <w:t xml:space="preserve"/>
      </w:r>
    </w:p>
    <w:p>
      <w:pPr>
        <w:pStyle w:val="Heading2"/>
        <w:spacing w:after="120" w:before="280"/>
      </w:pPr>
      <w:r>
        <w:rPr>
          <w:rFonts w:ascii="Arial" w:cs="Arial" w:eastAsia="Arial" w:hAnsi="Arial"/>
          <w:b/>
          <w:bCs/>
          <w:color w:val="374151"/>
          <w:sz w:val="26"/>
          <w:szCs w:val="26"/>
        </w:rPr>
        <w:t xml:space="preserve">3.3  Blockchain</w:t>
      </w:r>
    </w:p>
    <w:p>
      <w:pPr>
        <w:pStyle w:val="Heading3"/>
        <w:spacing w:after="80" w:before="200"/>
      </w:pPr>
      <w:r>
        <w:rPr>
          <w:rFonts w:ascii="Arial" w:cs="Arial" w:eastAsia="Arial" w:hAnsi="Arial"/>
          <w:b/>
          <w:bCs/>
          <w:color w:val="4F46E5"/>
          <w:sz w:val="24"/>
          <w:szCs w:val="24"/>
        </w:rPr>
        <w:t xml:space="preserve">Polygon Mumbai (Testnet)</w:t>
      </w:r>
    </w:p>
    <w:p>
      <w:pPr>
        <w:spacing w:after="60" w:before="60"/>
        <w:jc w:val="both"/>
      </w:pPr>
      <w:r>
        <w:rPr>
          <w:rFonts w:ascii="Arial" w:cs="Arial" w:eastAsia="Arial" w:hAnsi="Arial"/>
          <w:color w:val="374151"/>
          <w:sz w:val="22"/>
          <w:szCs w:val="22"/>
        </w:rPr>
        <w:t xml:space="preserve">Polygon is an Ethereum-compatible blockchain that is fast (2 second block times) and extremely cheap (fractions of a cent per transaction). Mumbai is its testnet — you get free MATIC from a faucet, and every transaction appears on Polygonscan which judges can see live during your demo. After the hackathon, you deploy to Polygon Mainnet.</w:t>
      </w:r>
    </w:p>
    <w:p>
      <w:pPr>
        <w:pStyle w:val="ListParagraph"/>
        <w:numPr>
          <w:ilvl w:val="0"/>
          <w:numId w:val="2"/>
        </w:numPr>
        <w:spacing w:after="40" w:before="40"/>
      </w:pPr>
      <w:r>
        <w:rPr>
          <w:rFonts w:ascii="Arial" w:cs="Arial" w:eastAsia="Arial" w:hAnsi="Arial"/>
          <w:color w:val="374151"/>
          <w:sz w:val="22"/>
          <w:szCs w:val="22"/>
        </w:rPr>
        <w:t xml:space="preserve">Alternative: Base Sepolia (Coinbase-backed testnet). Excellent fallback if the Mumbai faucet is dry on demo day. Base is growing fast in 2026.</w:t>
      </w:r>
    </w:p>
    <w:p>
      <w:pPr>
        <w:spacing w:after="0" w:before="60"/>
      </w:pPr>
      <w:r>
        <w:rPr>
          <w:sz w:val="20"/>
          <w:szCs w:val="20"/>
        </w:rPr>
        <w:t xml:space="preserve"/>
      </w:r>
    </w:p>
    <w:p>
      <w:pPr>
        <w:pStyle w:val="Heading3"/>
        <w:spacing w:after="80" w:before="200"/>
      </w:pPr>
      <w:r>
        <w:rPr>
          <w:rFonts w:ascii="Arial" w:cs="Arial" w:eastAsia="Arial" w:hAnsi="Arial"/>
          <w:b/>
          <w:bCs/>
          <w:color w:val="4F46E5"/>
          <w:sz w:val="24"/>
          <w:szCs w:val="24"/>
        </w:rPr>
        <w:t xml:space="preserve">Solidity + Hardhat</w:t>
      </w:r>
    </w:p>
    <w:p>
      <w:pPr>
        <w:spacing w:after="60" w:before="60"/>
        <w:jc w:val="both"/>
      </w:pPr>
      <w:r>
        <w:rPr>
          <w:rFonts w:ascii="Arial" w:cs="Arial" w:eastAsia="Arial" w:hAnsi="Arial"/>
          <w:color w:val="374151"/>
          <w:sz w:val="22"/>
          <w:szCs w:val="22"/>
        </w:rPr>
        <w:t xml:space="preserve">Solidity is the programming language for Ethereum-compatible smart contracts. Hardhat is your development environment — it compiles, tests, and deploys your contracts with one command. You write exactly two contracts for the MVP: ReputationPassport.sol (the soulbound NFT) and TrustWorkEscrow.sol (the payment escrow).</w:t>
      </w:r>
    </w:p>
    <w:p>
      <w:pPr>
        <w:pStyle w:val="ListParagraph"/>
        <w:numPr>
          <w:ilvl w:val="0"/>
          <w:numId w:val="2"/>
        </w:numPr>
        <w:spacing w:after="40" w:before="40"/>
      </w:pPr>
      <w:r>
        <w:rPr>
          <w:rFonts w:ascii="Arial" w:cs="Arial" w:eastAsia="Arial" w:hAnsi="Arial"/>
          <w:color w:val="374151"/>
          <w:sz w:val="22"/>
          <w:szCs w:val="22"/>
        </w:rPr>
        <w:t xml:space="preserve">Alternative: Foundry — faster for tests, but Hardhat is easier for beginners and integrates better with JavaScript tooling.</w:t>
      </w:r>
    </w:p>
    <w:p>
      <w:pPr>
        <w:spacing w:after="0" w:before="60"/>
      </w:pPr>
      <w:r>
        <w:rPr>
          <w:sz w:val="20"/>
          <w:szCs w:val="20"/>
        </w:rPr>
        <w:t xml:space="preserve"/>
      </w:r>
    </w:p>
    <w:p>
      <w:pPr>
        <w:pStyle w:val="Heading3"/>
        <w:spacing w:after="80" w:before="200"/>
      </w:pPr>
      <w:r>
        <w:rPr>
          <w:rFonts w:ascii="Arial" w:cs="Arial" w:eastAsia="Arial" w:hAnsi="Arial"/>
          <w:b/>
          <w:bCs/>
          <w:color w:val="4F46E5"/>
          <w:sz w:val="24"/>
          <w:szCs w:val="24"/>
        </w:rPr>
        <w:t xml:space="preserve">OpenZeppelin</w:t>
      </w:r>
    </w:p>
    <w:p>
      <w:pPr>
        <w:spacing w:after="60" w:before="60"/>
        <w:jc w:val="both"/>
      </w:pPr>
      <w:r>
        <w:rPr>
          <w:rFonts w:ascii="Arial" w:cs="Arial" w:eastAsia="Arial" w:hAnsi="Arial"/>
          <w:color w:val="374151"/>
          <w:sz w:val="22"/>
          <w:szCs w:val="22"/>
        </w:rPr>
        <w:t xml:space="preserve">OpenZeppelin provides pre-audited, battle-tested smart contract libraries. Your NFT contract extends their ERC721 base instead of writing the standard from scratch — this saves hours and eliminates entire classes of security vulnerabilities.</w:t>
      </w:r>
    </w:p>
    <w:p>
      <w:pPr>
        <w:pStyle w:val="ListParagraph"/>
        <w:numPr>
          <w:ilvl w:val="0"/>
          <w:numId w:val="2"/>
        </w:numPr>
        <w:spacing w:after="40" w:before="40"/>
      </w:pPr>
      <w:r>
        <w:rPr>
          <w:rFonts w:ascii="Arial" w:cs="Arial" w:eastAsia="Arial" w:hAnsi="Arial"/>
          <w:color w:val="374151"/>
          <w:sz w:val="22"/>
          <w:szCs w:val="22"/>
        </w:rPr>
        <w:t xml:space="preserve">This is not optional. Never write ERC-721 or ERC-20 from scratch in a production system.</w:t>
      </w:r>
    </w:p>
    <w:p>
      <w:pPr>
        <w:spacing w:after="0" w:before="120"/>
      </w:pPr>
      <w:r>
        <w:rPr>
          <w:sz w:val="20"/>
          <w:szCs w:val="20"/>
        </w:rPr>
        <w:t xml:space="preserve"/>
      </w:r>
    </w:p>
    <w:p>
      <w:pPr>
        <w:pStyle w:val="Heading2"/>
        <w:spacing w:after="120" w:before="280"/>
      </w:pPr>
      <w:r>
        <w:rPr>
          <w:rFonts w:ascii="Arial" w:cs="Arial" w:eastAsia="Arial" w:hAnsi="Arial"/>
          <w:b/>
          <w:bCs/>
          <w:color w:val="374151"/>
          <w:sz w:val="26"/>
          <w:szCs w:val="26"/>
        </w:rPr>
        <w:t xml:space="preserve">3.4  AI Integration</w:t>
      </w:r>
    </w:p>
    <w:p>
      <w:pPr>
        <w:pStyle w:val="Heading3"/>
        <w:spacing w:after="80" w:before="200"/>
      </w:pPr>
      <w:r>
        <w:rPr>
          <w:rFonts w:ascii="Arial" w:cs="Arial" w:eastAsia="Arial" w:hAnsi="Arial"/>
          <w:b/>
          <w:bCs/>
          <w:color w:val="4F46E5"/>
          <w:sz w:val="24"/>
          <w:szCs w:val="24"/>
        </w:rPr>
        <w:t xml:space="preserve">Claude API (Anthropic)</w:t>
      </w:r>
    </w:p>
    <w:p>
      <w:pPr>
        <w:spacing w:after="60" w:before="60"/>
        <w:jc w:val="both"/>
      </w:pPr>
      <w:r>
        <w:rPr>
          <w:rFonts w:ascii="Arial" w:cs="Arial" w:eastAsia="Arial" w:hAnsi="Arial"/>
          <w:color w:val="374151"/>
          <w:sz w:val="22"/>
          <w:szCs w:val="22"/>
        </w:rPr>
        <w:t xml:space="preserve">Powers all three AI features specified in your PRD. (1) Challenge generation: Claude receives the skill category and returns a unique JSON challenge object with title, description, and requirements. No two challenges are identical. (2) Skill grading: Claude receives the freelancer's submission plus a 4-dimension rubric (Correctness 40pts, Code Quality 30pts, Edge Cases 20pts, Explanation 10pts) and returns {score, pass, feedback}. (3) Dispute resolution: Claude reads the job description, deliverable, freelancer statement, and client statement, then returns {verdict, confidence, reasoning}.</w:t>
      </w:r>
    </w:p>
    <w:p>
      <w:pPr>
        <w:spacing w:after="0" w:before="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single" w:color="4F46E5" w:sz="24"/>
              <w:bottom w:val="single" w:color="C7D2FE" w:sz="4"/>
              <w:right w:val="single" w:color="C7D2FE" w:sz="4"/>
            </w:tcBorders>
            <w:shd w:fill="EEF2FF" w:val="clear"/>
            <w:tcMar>
              <w:top w:type="dxa" w:w="120"/>
              <w:left w:type="dxa" w:w="200"/>
              <w:bottom w:type="dxa" w:w="120"/>
              <w:right w:type="dxa" w:w="160"/>
            </w:tcMar>
          </w:tcPr>
          <w:p>
            <w:pPr>
              <w:spacing w:after="60"/>
            </w:pPr>
            <w:r>
              <w:rPr>
                <w:rFonts w:ascii="Arial" w:cs="Arial" w:eastAsia="Arial" w:hAnsi="Arial"/>
                <w:b/>
                <w:bCs/>
                <w:color w:val="4F46E5"/>
                <w:sz w:val="22"/>
                <w:szCs w:val="22"/>
              </w:rPr>
              <w:t xml:space="preserve">Critical security rule</w:t>
            </w:r>
          </w:p>
          <w:p>
            <w:pPr>
              <w:spacing w:after="40" w:before="40"/>
            </w:pPr>
            <w:r>
              <w:rPr>
                <w:rFonts w:ascii="Arial" w:cs="Arial" w:eastAsia="Arial" w:hAnsi="Arial"/>
                <w:color w:val="374151"/>
                <w:sz w:val="20"/>
                <w:szCs w:val="20"/>
              </w:rPr>
              <w:t xml:space="preserve">The Anthropic API key must ONLY be called from your backend (Node.js server).</w:t>
            </w:r>
          </w:p>
          <w:p>
            <w:pPr>
              <w:spacing w:after="40" w:before="40"/>
            </w:pPr>
            <w:r>
              <w:rPr>
                <w:rFonts w:ascii="Arial" w:cs="Arial" w:eastAsia="Arial" w:hAnsi="Arial"/>
                <w:color w:val="374151"/>
                <w:sz w:val="20"/>
                <w:szCs w:val="20"/>
              </w:rPr>
              <w:t xml:space="preserve">Never call Claude from the browser. If you do, your API key will be visible in browser DevTools</w:t>
            </w:r>
          </w:p>
          <w:p>
            <w:pPr>
              <w:spacing w:after="40" w:before="40"/>
            </w:pPr>
            <w:r>
              <w:rPr>
                <w:rFonts w:ascii="Arial" w:cs="Arial" w:eastAsia="Arial" w:hAnsi="Arial"/>
                <w:color w:val="374151"/>
                <w:sz w:val="20"/>
                <w:szCs w:val="20"/>
              </w:rPr>
              <w:t xml:space="preserve">to anyone who opens your site. Every frontend action that needs AI must go through your backend API.</w:t>
            </w:r>
          </w:p>
        </w:tc>
      </w:tr>
    </w:tbl>
    <w:p>
      <w:pPr>
        <w:spacing w:after="0" w:before="120"/>
      </w:pPr>
      <w:r>
        <w:rPr>
          <w:sz w:val="20"/>
          <w:szCs w:val="20"/>
        </w:rPr>
        <w:t xml:space="preserve"/>
      </w:r>
    </w:p>
    <w:p>
      <w:pPr>
        <w:pStyle w:val="Heading2"/>
        <w:spacing w:after="120" w:before="280"/>
      </w:pPr>
      <w:r>
        <w:rPr>
          <w:rFonts w:ascii="Arial" w:cs="Arial" w:eastAsia="Arial" w:hAnsi="Arial"/>
          <w:b/>
          <w:bCs/>
          <w:color w:val="374151"/>
          <w:sz w:val="26"/>
          <w:szCs w:val="26"/>
        </w:rPr>
        <w:t xml:space="preserve">3.5  Database &amp; Storage</w:t>
      </w:r>
    </w:p>
    <w:p>
      <w:pPr>
        <w:pStyle w:val="Heading3"/>
        <w:spacing w:after="80" w:before="200"/>
      </w:pPr>
      <w:r>
        <w:rPr>
          <w:rFonts w:ascii="Arial" w:cs="Arial" w:eastAsia="Arial" w:hAnsi="Arial"/>
          <w:b/>
          <w:bCs/>
          <w:color w:val="4F46E5"/>
          <w:sz w:val="24"/>
          <w:szCs w:val="24"/>
        </w:rPr>
        <w:t xml:space="preserve">Supabase (PostgreSQL)</w:t>
      </w:r>
    </w:p>
    <w:p>
      <w:pPr>
        <w:spacing w:after="60" w:before="60"/>
        <w:jc w:val="both"/>
      </w:pPr>
      <w:r>
        <w:rPr>
          <w:rFonts w:ascii="Arial" w:cs="Arial" w:eastAsia="Arial" w:hAnsi="Arial"/>
          <w:color w:val="374151"/>
          <w:sz w:val="22"/>
          <w:szCs w:val="22"/>
        </w:rPr>
        <w:t xml:space="preserve">A hosted Postgres database with a generous free tier. You store all off-chain data here: job listings, user profiles, challenge records, SIWE nonces, and dispute records. Supabase includes a web dashboard that lets you browse and edit your tables live — invaluable for debugging during a hackathon.</w:t>
      </w:r>
    </w:p>
    <w:p>
      <w:pPr>
        <w:pStyle w:val="ListParagraph"/>
        <w:numPr>
          <w:ilvl w:val="0"/>
          <w:numId w:val="2"/>
        </w:numPr>
        <w:spacing w:after="40" w:before="40"/>
      </w:pPr>
      <w:r>
        <w:rPr>
          <w:rFonts w:ascii="Arial" w:cs="Arial" w:eastAsia="Arial" w:hAnsi="Arial"/>
          <w:color w:val="374151"/>
          <w:sz w:val="22"/>
          <w:szCs w:val="22"/>
        </w:rPr>
        <w:t xml:space="preserve">Alternative: PlanetScale (MySQL) or Railway Postgres. All fine. Supabase has the best free tier and UI.</w:t>
      </w:r>
    </w:p>
    <w:p>
      <w:pPr>
        <w:spacing w:after="0" w:before="60"/>
      </w:pPr>
      <w:r>
        <w:rPr>
          <w:sz w:val="20"/>
          <w:szCs w:val="20"/>
        </w:rPr>
        <w:t xml:space="preserve"/>
      </w:r>
    </w:p>
    <w:p>
      <w:pPr>
        <w:pStyle w:val="Heading3"/>
        <w:spacing w:after="80" w:before="200"/>
      </w:pPr>
      <w:r>
        <w:rPr>
          <w:rFonts w:ascii="Arial" w:cs="Arial" w:eastAsia="Arial" w:hAnsi="Arial"/>
          <w:b/>
          <w:bCs/>
          <w:color w:val="4F46E5"/>
          <w:sz w:val="24"/>
          <w:szCs w:val="24"/>
        </w:rPr>
        <w:t xml:space="preserve">Pinata (IPFS)</w:t>
      </w:r>
    </w:p>
    <w:p>
      <w:pPr>
        <w:spacing w:after="60" w:before="60"/>
        <w:jc w:val="both"/>
      </w:pPr>
      <w:r>
        <w:rPr>
          <w:rFonts w:ascii="Arial" w:cs="Arial" w:eastAsia="Arial" w:hAnsi="Arial"/>
          <w:color w:val="374151"/>
          <w:sz w:val="22"/>
          <w:szCs w:val="22"/>
        </w:rPr>
        <w:t xml:space="preserve">IPFS is a decentralised file storage network. Pinata is a service that pins your files to IPFS so they stay online reliably. You store NFT metadata here — the full skill score, job history, client reviews, and earnings timeline. Only the IPFS CID (a hash of the content) gets written to the blockchain. This keeps transaction costs low while keeping the data decentralised and permanent.</w:t>
      </w:r>
    </w:p>
    <w:p>
      <w:pPr>
        <w:pStyle w:val="ListParagraph"/>
        <w:numPr>
          <w:ilvl w:val="0"/>
          <w:numId w:val="2"/>
        </w:numPr>
        <w:spacing w:after="40" w:before="40"/>
      </w:pPr>
      <w:r>
        <w:rPr>
          <w:rFonts w:ascii="Arial" w:cs="Arial" w:eastAsia="Arial" w:hAnsi="Arial"/>
          <w:color w:val="374151"/>
          <w:sz w:val="22"/>
          <w:szCs w:val="22"/>
        </w:rPr>
        <w:t xml:space="preserve">Alternative: NFT.storage. Also free and reliable. Pinata is slightly more battle-tested for production.</w:t>
      </w:r>
    </w:p>
    <w:p>
      <w:pPr>
        <w:spacing w:after="0" w:before="120"/>
      </w:pPr>
      <w:r>
        <w:rPr>
          <w:sz w:val="20"/>
          <w:szCs w:val="20"/>
        </w:rPr>
        <w:t xml:space="preserve"/>
      </w:r>
    </w:p>
    <w:p>
      <w:pPr>
        <w:pStyle w:val="Heading2"/>
        <w:spacing w:after="120" w:before="280"/>
      </w:pPr>
      <w:r>
        <w:rPr>
          <w:rFonts w:ascii="Arial" w:cs="Arial" w:eastAsia="Arial" w:hAnsi="Arial"/>
          <w:b/>
          <w:bCs/>
          <w:color w:val="374151"/>
          <w:sz w:val="26"/>
          <w:szCs w:val="26"/>
        </w:rPr>
        <w:t xml:space="preserve">3.6  Hosting &amp; Deployment</w:t>
      </w:r>
    </w:p>
    <w:p>
      <w:pPr>
        <w:pStyle w:val="Heading3"/>
        <w:spacing w:after="80" w:before="200"/>
      </w:pPr>
      <w:r>
        <w:rPr>
          <w:rFonts w:ascii="Arial" w:cs="Arial" w:eastAsia="Arial" w:hAnsi="Arial"/>
          <w:b/>
          <w:bCs/>
          <w:color w:val="4F46E5"/>
          <w:sz w:val="24"/>
          <w:szCs w:val="24"/>
        </w:rPr>
        <w:t xml:space="preserve">Vercel (Frontend)</w:t>
      </w:r>
    </w:p>
    <w:p>
      <w:pPr>
        <w:spacing w:after="60" w:before="60"/>
        <w:jc w:val="both"/>
      </w:pPr>
      <w:r>
        <w:rPr>
          <w:rFonts w:ascii="Arial" w:cs="Arial" w:eastAsia="Arial" w:hAnsi="Arial"/>
          <w:color w:val="374151"/>
          <w:sz w:val="22"/>
          <w:szCs w:val="22"/>
        </w:rPr>
        <w:t xml:space="preserve">Deploy your Next.js app by connecting your GitHub repository to Vercel. Every push to main automatically deploys. Free tier includes automatic HTTPS, global CDN, and preview URLs per branch. For a hackathon, you go from code to live in under 60 seconds.</w:t>
      </w:r>
    </w:p>
    <w:p>
      <w:pPr>
        <w:spacing w:after="0" w:before="60"/>
      </w:pPr>
      <w:r>
        <w:rPr>
          <w:sz w:val="20"/>
          <w:szCs w:val="20"/>
        </w:rPr>
        <w:t xml:space="preserve"/>
      </w:r>
    </w:p>
    <w:p>
      <w:pPr>
        <w:pStyle w:val="Heading3"/>
        <w:spacing w:after="80" w:before="200"/>
      </w:pPr>
      <w:r>
        <w:rPr>
          <w:rFonts w:ascii="Arial" w:cs="Arial" w:eastAsia="Arial" w:hAnsi="Arial"/>
          <w:b/>
          <w:bCs/>
          <w:color w:val="4F46E5"/>
          <w:sz w:val="24"/>
          <w:szCs w:val="24"/>
        </w:rPr>
        <w:t xml:space="preserve">Railway (Backend)</w:t>
      </w:r>
    </w:p>
    <w:p>
      <w:pPr>
        <w:spacing w:after="60" w:before="60"/>
        <w:jc w:val="both"/>
      </w:pPr>
      <w:r>
        <w:rPr>
          <w:rFonts w:ascii="Arial" w:cs="Arial" w:eastAsia="Arial" w:hAnsi="Arial"/>
          <w:color w:val="374151"/>
          <w:sz w:val="22"/>
          <w:szCs w:val="22"/>
        </w:rPr>
        <w:t xml:space="preserve">One-click Node.js hosting. Connect your GitHub repo, set environment variables in the dashboard, and Railway detects it is a Node.js project and runs it. Free trial credits cover a 36-hour hackathon easily.</w:t>
      </w:r>
    </w:p>
    <w:p>
      <w:pPr>
        <w:pStyle w:val="ListParagraph"/>
        <w:numPr>
          <w:ilvl w:val="0"/>
          <w:numId w:val="2"/>
        </w:numPr>
        <w:spacing w:after="40" w:before="40"/>
      </w:pPr>
      <w:r>
        <w:rPr>
          <w:rFonts w:ascii="Arial" w:cs="Arial" w:eastAsia="Arial" w:hAnsi="Arial"/>
          <w:color w:val="374151"/>
          <w:sz w:val="22"/>
          <w:szCs w:val="22"/>
        </w:rPr>
        <w:t xml:space="preserve">Alternative: Render.com — identical experience, also free tier. Both work great.</w:t>
      </w:r>
    </w:p>
    <w:p>
      <w:pPr>
        <w:spacing w:after="0" w:before="200"/>
      </w:pPr>
      <w:r>
        <w:rPr>
          <w:sz w:val="20"/>
          <w:szCs w:val="20"/>
        </w:rPr>
        <w:t xml:space="preserve"/>
      </w:r>
    </w:p>
    <w:p>
      <w:pPr>
        <w:pStyle w:val="Heading1"/>
        <w:pBdr>
          <w:bottom w:val="single" w:color="4F46E5" w:sz="6" w:space="4"/>
        </w:pBdr>
        <w:spacing w:after="160" w:before="320"/>
      </w:pPr>
      <w:r>
        <w:rPr>
          <w:rFonts w:ascii="Arial" w:cs="Arial" w:eastAsia="Arial" w:hAnsi="Arial"/>
          <w:b/>
          <w:bCs/>
          <w:color w:val="4F46E5"/>
          <w:sz w:val="36"/>
          <w:szCs w:val="36"/>
        </w:rPr>
        <w:t xml:space="preserve">4. Architecture: How All Components Connect</w:t>
      </w:r>
    </w:p>
    <w:p>
      <w:pPr>
        <w:spacing w:after="60" w:before="60"/>
        <w:jc w:val="both"/>
      </w:pPr>
      <w:r>
        <w:rPr>
          <w:rFonts w:ascii="Arial" w:cs="Arial" w:eastAsia="Arial" w:hAnsi="Arial"/>
          <w:color w:val="374151"/>
          <w:sz w:val="22"/>
          <w:szCs w:val="22"/>
        </w:rPr>
        <w:t xml:space="preserve">The diagram below shows the complete data flow — from a user opening the browser to a completed escrow payment. Read it from step 1 to 7.</w:t>
      </w:r>
    </w:p>
    <w:p>
      <w:pPr>
        <w:spacing w:after="0"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000"/>
        <w:gridCol w:w="6720"/>
      </w:tblGrid>
      <w:tr>
        <w:trPr>
          <w:tblHeader/>
        </w:trPr>
        <w:tc>
          <w:tcPr>
            <w:tcW w:type="dxa" w:w="640"/>
            <w:tcBorders>
              <w:top w:val="single" w:color="D1D5DB" w:sz="4"/>
              <w:left w:val="single" w:color="D1D5DB" w:sz="4"/>
              <w:bottom w:val="single" w:color="D1D5DB" w:sz="4"/>
              <w:right w:val="single" w:color="D1D5DB" w:sz="4"/>
            </w:tcBorders>
            <w:shd w:fill="4F46E5"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2000"/>
            <w:tcBorders>
              <w:top w:val="single" w:color="D1D5DB" w:sz="4"/>
              <w:left w:val="single" w:color="D1D5DB" w:sz="4"/>
              <w:bottom w:val="single" w:color="D1D5DB" w:sz="4"/>
              <w:right w:val="single" w:color="D1D5DB" w:sz="4"/>
            </w:tcBorders>
            <w:shd w:fill="4F46E5" w:val="clear"/>
            <w:tcMar>
              <w:top w:type="dxa" w:w="100"/>
              <w:left w:type="dxa" w:w="120"/>
              <w:bottom w:type="dxa" w:w="100"/>
              <w:right w:type="dxa" w:w="120"/>
            </w:tcMar>
          </w:tcPr>
          <w:p>
            <w:r>
              <w:rPr>
                <w:rFonts w:ascii="Arial" w:cs="Arial" w:eastAsia="Arial" w:hAnsi="Arial"/>
                <w:b/>
                <w:bCs/>
                <w:color w:val="FFFFFF"/>
                <w:sz w:val="22"/>
                <w:szCs w:val="22"/>
              </w:rPr>
              <w:t xml:space="preserve">Action</w:t>
            </w:r>
          </w:p>
        </w:tc>
        <w:tc>
          <w:tcPr>
            <w:tcW w:type="dxa" w:w="6720"/>
            <w:tcBorders>
              <w:top w:val="single" w:color="D1D5DB" w:sz="4"/>
              <w:left w:val="single" w:color="D1D5DB" w:sz="4"/>
              <w:bottom w:val="single" w:color="D1D5DB" w:sz="4"/>
              <w:right w:val="single" w:color="D1D5DB" w:sz="4"/>
            </w:tcBorders>
            <w:shd w:fill="4F46E5" w:val="clear"/>
            <w:tcMar>
              <w:top w:type="dxa" w:w="100"/>
              <w:left w:type="dxa" w:w="120"/>
              <w:bottom w:type="dxa" w:w="100"/>
              <w:right w:type="dxa" w:w="120"/>
            </w:tcMar>
          </w:tcPr>
          <w:p>
            <w:r>
              <w:rPr>
                <w:rFonts w:ascii="Arial" w:cs="Arial" w:eastAsia="Arial" w:hAnsi="Arial"/>
                <w:b/>
                <w:bCs/>
                <w:color w:val="FFFFFF"/>
                <w:sz w:val="22"/>
                <w:szCs w:val="22"/>
              </w:rPr>
              <w:t xml:space="preserve">What Happens</w:t>
            </w:r>
          </w:p>
        </w:tc>
      </w:tr>
      <w:tr>
        <w:tc>
          <w:tcPr>
            <w:tcW w:type="dxa" w:w="640"/>
            <w:tcBorders>
              <w:top w:val="single" w:color="D1D5DB" w:sz="4"/>
              <w:left w:val="single" w:color="D1D5DB" w:sz="4"/>
              <w:bottom w:val="single" w:color="D1D5DB" w:sz="4"/>
              <w:right w:val="single" w:color="D1D5DB" w:sz="4"/>
            </w:tcBorders>
            <w:shd w:fill="EEF2FF" w:val="clear"/>
            <w:tcMar>
              <w:top w:type="dxa" w:w="100"/>
              <w:left w:type="dxa" w:w="120"/>
              <w:bottom w:type="dxa" w:w="100"/>
              <w:right w:type="dxa" w:w="120"/>
            </w:tcMar>
          </w:tcPr>
          <w:p>
            <w:r>
              <w:rPr>
                <w:rFonts w:ascii="Arial" w:cs="Arial" w:eastAsia="Arial" w:hAnsi="Arial"/>
                <w:b/>
                <w:bCs/>
                <w:color w:val="4F46E5"/>
                <w:sz w:val="20"/>
                <w:szCs w:val="20"/>
              </w:rPr>
              <w:t xml:space="preserve">1</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User opens browser</w:t>
            </w:r>
          </w:p>
        </w:tc>
        <w:tc>
          <w:tcPr>
            <w:tcW w:type="dxa" w:w="672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Next.js (Vercel) serves the page. RainbowKit renders the Connect Wallet button.</w:t>
            </w:r>
          </w:p>
        </w:tc>
      </w:tr>
      <w:tr>
        <w:tc>
          <w:tcPr>
            <w:tcW w:type="dxa" w:w="640"/>
            <w:tcBorders>
              <w:top w:val="single" w:color="D1D5DB" w:sz="4"/>
              <w:left w:val="single" w:color="D1D5DB" w:sz="4"/>
              <w:bottom w:val="single" w:color="D1D5DB" w:sz="4"/>
              <w:right w:val="single" w:color="D1D5DB" w:sz="4"/>
            </w:tcBorders>
            <w:shd w:fill="EEF2FF" w:val="clear"/>
            <w:tcMar>
              <w:top w:type="dxa" w:w="100"/>
              <w:left w:type="dxa" w:w="120"/>
              <w:bottom w:type="dxa" w:w="100"/>
              <w:right w:type="dxa" w:w="120"/>
            </w:tcMar>
          </w:tcPr>
          <w:p>
            <w:r>
              <w:rPr>
                <w:rFonts w:ascii="Arial" w:cs="Arial" w:eastAsia="Arial" w:hAnsi="Arial"/>
                <w:b/>
                <w:bCs/>
                <w:color w:val="4F46E5"/>
                <w:sz w:val="20"/>
                <w:szCs w:val="20"/>
              </w:rPr>
              <w:t xml:space="preserve">2</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b w:val="false"/>
                <w:bCs w:val="false"/>
                <w:color w:val="374151"/>
                <w:sz w:val="20"/>
                <w:szCs w:val="20"/>
              </w:rPr>
              <w:t xml:space="preserve">Wallet connect + login</w:t>
            </w:r>
          </w:p>
        </w:tc>
        <w:tc>
          <w:tcPr>
            <w:tcW w:type="dxa" w:w="672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b w:val="false"/>
                <w:bCs w:val="false"/>
                <w:color w:val="374151"/>
                <w:sz w:val="20"/>
                <w:szCs w:val="20"/>
              </w:rPr>
              <w:t xml:space="preserve">RainbowKit + wagmi open MetaMask. User signs a SIWE message. Backend verifies signature and issues a JWT. No password, no email.</w:t>
            </w:r>
          </w:p>
        </w:tc>
      </w:tr>
      <w:tr>
        <w:tc>
          <w:tcPr>
            <w:tcW w:type="dxa" w:w="640"/>
            <w:tcBorders>
              <w:top w:val="single" w:color="D1D5DB" w:sz="4"/>
              <w:left w:val="single" w:color="D1D5DB" w:sz="4"/>
              <w:bottom w:val="single" w:color="D1D5DB" w:sz="4"/>
              <w:right w:val="single" w:color="D1D5DB" w:sz="4"/>
            </w:tcBorders>
            <w:shd w:fill="EEF2FF" w:val="clear"/>
            <w:tcMar>
              <w:top w:type="dxa" w:w="100"/>
              <w:left w:type="dxa" w:w="120"/>
              <w:bottom w:type="dxa" w:w="100"/>
              <w:right w:type="dxa" w:w="120"/>
            </w:tcMar>
          </w:tcPr>
          <w:p>
            <w:r>
              <w:rPr>
                <w:rFonts w:ascii="Arial" w:cs="Arial" w:eastAsia="Arial" w:hAnsi="Arial"/>
                <w:b/>
                <w:bCs/>
                <w:color w:val="4F46E5"/>
                <w:sz w:val="20"/>
                <w:szCs w:val="20"/>
              </w:rPr>
              <w:t xml:space="preserve">3</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Skill challenge request</w:t>
            </w:r>
          </w:p>
        </w:tc>
        <w:tc>
          <w:tcPr>
            <w:tcW w:type="dxa" w:w="672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Frontend sends POST /skills/challenge. Backend calls Claude API. Claude returns a unique JSON challenge. Stored in Supabase. Shown to user.</w:t>
            </w:r>
          </w:p>
        </w:tc>
      </w:tr>
      <w:tr>
        <w:tc>
          <w:tcPr>
            <w:tcW w:type="dxa" w:w="640"/>
            <w:tcBorders>
              <w:top w:val="single" w:color="D1D5DB" w:sz="4"/>
              <w:left w:val="single" w:color="D1D5DB" w:sz="4"/>
              <w:bottom w:val="single" w:color="D1D5DB" w:sz="4"/>
              <w:right w:val="single" w:color="D1D5DB" w:sz="4"/>
            </w:tcBorders>
            <w:shd w:fill="EEF2FF" w:val="clear"/>
            <w:tcMar>
              <w:top w:type="dxa" w:w="100"/>
              <w:left w:type="dxa" w:w="120"/>
              <w:bottom w:type="dxa" w:w="100"/>
              <w:right w:type="dxa" w:w="120"/>
            </w:tcMar>
          </w:tcPr>
          <w:p>
            <w:r>
              <w:rPr>
                <w:rFonts w:ascii="Arial" w:cs="Arial" w:eastAsia="Arial" w:hAnsi="Arial"/>
                <w:b/>
                <w:bCs/>
                <w:color w:val="4F46E5"/>
                <w:sz w:val="20"/>
                <w:szCs w:val="20"/>
              </w:rPr>
              <w:t xml:space="preserve">4</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b w:val="false"/>
                <w:bCs w:val="false"/>
                <w:color w:val="374151"/>
                <w:sz w:val="20"/>
                <w:szCs w:val="20"/>
              </w:rPr>
              <w:t xml:space="preserve">Grading</w:t>
            </w:r>
          </w:p>
        </w:tc>
        <w:tc>
          <w:tcPr>
            <w:tcW w:type="dxa" w:w="672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b w:val="false"/>
                <w:bCs w:val="false"/>
                <w:color w:val="374151"/>
                <w:sz w:val="20"/>
                <w:szCs w:val="20"/>
              </w:rPr>
              <w:t xml:space="preserve">User submits answer. Frontend sends POST /skills/grade. Backend calls Claude API with answer + rubric. Returns {score, pass} JSON. Stored in Supabase.</w:t>
            </w:r>
          </w:p>
        </w:tc>
      </w:tr>
      <w:tr>
        <w:tc>
          <w:tcPr>
            <w:tcW w:type="dxa" w:w="640"/>
            <w:tcBorders>
              <w:top w:val="single" w:color="D1D5DB" w:sz="4"/>
              <w:left w:val="single" w:color="D1D5DB" w:sz="4"/>
              <w:bottom w:val="single" w:color="D1D5DB" w:sz="4"/>
              <w:right w:val="single" w:color="D1D5DB" w:sz="4"/>
            </w:tcBorders>
            <w:shd w:fill="EEF2FF" w:val="clear"/>
            <w:tcMar>
              <w:top w:type="dxa" w:w="100"/>
              <w:left w:type="dxa" w:w="120"/>
              <w:bottom w:type="dxa" w:w="100"/>
              <w:right w:type="dxa" w:w="120"/>
            </w:tcMar>
          </w:tcPr>
          <w:p>
            <w:r>
              <w:rPr>
                <w:rFonts w:ascii="Arial" w:cs="Arial" w:eastAsia="Arial" w:hAnsi="Arial"/>
                <w:b/>
                <w:bCs/>
                <w:color w:val="4F46E5"/>
                <w:sz w:val="20"/>
                <w:szCs w:val="20"/>
              </w:rPr>
              <w:t xml:space="preserve">5</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NFT mint (if pass &gt;= 70)</w:t>
            </w:r>
          </w:p>
        </w:tc>
        <w:tc>
          <w:tcPr>
            <w:tcW w:type="dxa" w:w="672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Backend uploads metadata JSON to Pinata/IPFS. Gets CID hash back. Calls ReputationPassport.sol on Polygon Mumbai via ethers.js. NFT minted. Polygonscan link shown.</w:t>
            </w:r>
          </w:p>
        </w:tc>
      </w:tr>
      <w:tr>
        <w:tc>
          <w:tcPr>
            <w:tcW w:type="dxa" w:w="640"/>
            <w:tcBorders>
              <w:top w:val="single" w:color="D1D5DB" w:sz="4"/>
              <w:left w:val="single" w:color="D1D5DB" w:sz="4"/>
              <w:bottom w:val="single" w:color="D1D5DB" w:sz="4"/>
              <w:right w:val="single" w:color="D1D5DB" w:sz="4"/>
            </w:tcBorders>
            <w:shd w:fill="EEF2FF" w:val="clear"/>
            <w:tcMar>
              <w:top w:type="dxa" w:w="100"/>
              <w:left w:type="dxa" w:w="120"/>
              <w:bottom w:type="dxa" w:w="100"/>
              <w:right w:type="dxa" w:w="120"/>
            </w:tcMar>
          </w:tcPr>
          <w:p>
            <w:r>
              <w:rPr>
                <w:rFonts w:ascii="Arial" w:cs="Arial" w:eastAsia="Arial" w:hAnsi="Arial"/>
                <w:b/>
                <w:bCs/>
                <w:color w:val="4F46E5"/>
                <w:sz w:val="20"/>
                <w:szCs w:val="20"/>
              </w:rPr>
              <w:t xml:space="preserve">6</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b w:val="false"/>
                <w:bCs w:val="false"/>
                <w:color w:val="374151"/>
                <w:sz w:val="20"/>
                <w:szCs w:val="20"/>
              </w:rPr>
              <w:t xml:space="preserve">Job posting + Escrow</w:t>
            </w:r>
          </w:p>
        </w:tc>
        <w:tc>
          <w:tcPr>
            <w:tcW w:type="dxa" w:w="672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b w:val="false"/>
                <w:bCs w:val="false"/>
                <w:color w:val="374151"/>
                <w:sz w:val="20"/>
                <w:szCs w:val="20"/>
              </w:rPr>
              <w:t xml:space="preserve">Client posts job (Supabase). Hires freelancer. wagmi calls TrustWorkEscrow.sol. MATIC locked in contract. On approval, releasePayment() sends funds minus 3% automatically.</w:t>
            </w:r>
          </w:p>
        </w:tc>
      </w:tr>
      <w:tr>
        <w:tc>
          <w:tcPr>
            <w:tcW w:type="dxa" w:w="640"/>
            <w:tcBorders>
              <w:top w:val="single" w:color="D1D5DB" w:sz="4"/>
              <w:left w:val="single" w:color="D1D5DB" w:sz="4"/>
              <w:bottom w:val="single" w:color="D1D5DB" w:sz="4"/>
              <w:right w:val="single" w:color="D1D5DB" w:sz="4"/>
            </w:tcBorders>
            <w:shd w:fill="EEF2FF" w:val="clear"/>
            <w:tcMar>
              <w:top w:type="dxa" w:w="100"/>
              <w:left w:type="dxa" w:w="120"/>
              <w:bottom w:type="dxa" w:w="100"/>
              <w:right w:type="dxa" w:w="120"/>
            </w:tcMar>
          </w:tcPr>
          <w:p>
            <w:r>
              <w:rPr>
                <w:rFonts w:ascii="Arial" w:cs="Arial" w:eastAsia="Arial" w:hAnsi="Arial"/>
                <w:b/>
                <w:bCs/>
                <w:color w:val="4F46E5"/>
                <w:sz w:val="20"/>
                <w:szCs w:val="20"/>
              </w:rPr>
              <w:t xml:space="preserve">7</w:t>
            </w:r>
          </w:p>
        </w:tc>
        <w:tc>
          <w:tcPr>
            <w:tcW w:type="dxa" w:w="20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Dispute resolution</w:t>
            </w:r>
          </w:p>
        </w:tc>
        <w:tc>
          <w:tcPr>
            <w:tcW w:type="dxa" w:w="672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Either party raises dispute. Backend collects job description + deliverable + both statements. Claude returns verdict JSON. resolveDispute() called on contract. Immutable on-chain record.</w:t>
            </w:r>
          </w:p>
        </w:tc>
      </w:tr>
    </w:tbl>
    <w:p>
      <w:pPr>
        <w:spacing w:after="0" w:before="12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single" w:color="4F46E5" w:sz="24"/>
              <w:bottom w:val="single" w:color="C7D2FE" w:sz="4"/>
              <w:right w:val="single" w:color="C7D2FE" w:sz="4"/>
            </w:tcBorders>
            <w:shd w:fill="EEF2FF" w:val="clear"/>
            <w:tcMar>
              <w:top w:type="dxa" w:w="120"/>
              <w:left w:type="dxa" w:w="200"/>
              <w:bottom w:type="dxa" w:w="120"/>
              <w:right w:type="dxa" w:w="160"/>
            </w:tcMar>
          </w:tcPr>
          <w:p>
            <w:pPr>
              <w:spacing w:after="60"/>
            </w:pPr>
            <w:r>
              <w:rPr>
                <w:rFonts w:ascii="Arial" w:cs="Arial" w:eastAsia="Arial" w:hAnsi="Arial"/>
                <w:b/>
                <w:bCs/>
                <w:color w:val="4F46E5"/>
                <w:sz w:val="22"/>
                <w:szCs w:val="22"/>
              </w:rPr>
              <w:t xml:space="preserve">Architecture golden rule</w:t>
            </w:r>
          </w:p>
          <w:p>
            <w:pPr>
              <w:spacing w:after="40" w:before="40"/>
            </w:pPr>
            <w:r>
              <w:rPr>
                <w:rFonts w:ascii="Arial" w:cs="Arial" w:eastAsia="Arial" w:hAnsi="Arial"/>
                <w:color w:val="374151"/>
                <w:sz w:val="20"/>
                <w:szCs w:val="20"/>
              </w:rPr>
              <w:t xml:space="preserve">The Claude API is always called from the backend (Node.js), never from the browser.</w:t>
            </w:r>
          </w:p>
          <w:p>
            <w:pPr>
              <w:spacing w:after="40" w:before="40"/>
            </w:pPr>
            <w:r>
              <w:rPr>
                <w:rFonts w:ascii="Arial" w:cs="Arial" w:eastAsia="Arial" w:hAnsi="Arial"/>
                <w:color w:val="374151"/>
                <w:sz w:val="20"/>
                <w:szCs w:val="20"/>
              </w:rPr>
              <w:t xml:space="preserve">Smart contracts on Polygon are called in two ways:</w:t>
            </w:r>
          </w:p>
          <w:p>
            <w:pPr>
              <w:spacing w:after="40" w:before="40"/>
            </w:pPr>
            <w:r>
              <w:rPr>
                <w:rFonts w:ascii="Arial" w:cs="Arial" w:eastAsia="Arial" w:hAnsi="Arial"/>
                <w:color w:val="374151"/>
                <w:sz w:val="20"/>
                <w:szCs w:val="20"/>
              </w:rPr>
              <w:t xml:space="preserve">  - From the backend via ethers.js for minting NFTs (your server initiates the transaction).</w:t>
            </w:r>
          </w:p>
          <w:p>
            <w:pPr>
              <w:spacing w:after="40" w:before="40"/>
            </w:pPr>
            <w:r>
              <w:rPr>
                <w:rFonts w:ascii="Arial" w:cs="Arial" w:eastAsia="Arial" w:hAnsi="Arial"/>
                <w:color w:val="374151"/>
                <w:sz w:val="20"/>
                <w:szCs w:val="20"/>
              </w:rPr>
              <w:t xml:space="preserve">  - From the browser via wagmi for escrow payments (the user signs and pays gas themselves).</w:t>
            </w:r>
          </w:p>
        </w:tc>
      </w:tr>
    </w:tbl>
    <w:p>
      <w:pPr>
        <w:spacing w:after="0" w:before="200"/>
      </w:pPr>
      <w:r>
        <w:rPr>
          <w:sz w:val="20"/>
          <w:szCs w:val="20"/>
        </w:rPr>
        <w:t xml:space="preserve"/>
      </w:r>
    </w:p>
    <w:p>
      <w:pPr>
        <w:pStyle w:val="Heading1"/>
        <w:pBdr>
          <w:bottom w:val="single" w:color="4F46E5" w:sz="6" w:space="4"/>
        </w:pBdr>
        <w:spacing w:after="160" w:before="320"/>
      </w:pPr>
      <w:r>
        <w:rPr>
          <w:rFonts w:ascii="Arial" w:cs="Arial" w:eastAsia="Arial" w:hAnsi="Arial"/>
          <w:b/>
          <w:bCs/>
          <w:color w:val="4F46E5"/>
          <w:sz w:val="36"/>
          <w:szCs w:val="36"/>
        </w:rPr>
        <w:t xml:space="preserve">5. Hackathon Build Order (36 Hours)</w:t>
      </w:r>
    </w:p>
    <w:p>
      <w:pPr>
        <w:spacing w:after="60" w:before="60"/>
        <w:jc w:val="both"/>
      </w:pPr>
      <w:r>
        <w:rPr>
          <w:rFonts w:ascii="Arial" w:cs="Arial" w:eastAsia="Arial" w:hAnsi="Arial"/>
          <w:color w:val="374151"/>
          <w:sz w:val="22"/>
          <w:szCs w:val="22"/>
        </w:rPr>
        <w:t xml:space="preserve">Build in this order — each phase unblocks the next. Do not skip ahead. The AI skill flow (Phase D) is the most time-consuming and the most impressive feature, so it is scheduled in the middle when you still have energy.</w:t>
      </w:r>
    </w:p>
    <w:p>
      <w:pPr>
        <w:spacing w:after="0"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1200"/>
        <w:gridCol w:w="1800"/>
        <w:gridCol w:w="5900"/>
      </w:tblGrid>
      <w:tr>
        <w:trPr>
          <w:tblHeader/>
        </w:trPr>
        <w:tc>
          <w:tcPr>
            <w:tcW w:type="dxa" w:w="460"/>
            <w:tcBorders>
              <w:top w:val="single" w:color="D1D5DB" w:sz="4"/>
              <w:left w:val="single" w:color="D1D5DB" w:sz="4"/>
              <w:bottom w:val="single" w:color="D1D5DB" w:sz="4"/>
              <w:right w:val="single" w:color="D1D5DB" w:sz="4"/>
            </w:tcBorders>
            <w:shd w:fill="4F46E5"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1200"/>
            <w:tcBorders>
              <w:top w:val="single" w:color="D1D5DB" w:sz="4"/>
              <w:left w:val="single" w:color="D1D5DB" w:sz="4"/>
              <w:bottom w:val="single" w:color="D1D5DB" w:sz="4"/>
              <w:right w:val="single" w:color="D1D5DB" w:sz="4"/>
            </w:tcBorders>
            <w:shd w:fill="4F46E5" w:val="clear"/>
            <w:tcMar>
              <w:top w:type="dxa" w:w="100"/>
              <w:left w:type="dxa" w:w="120"/>
              <w:bottom w:type="dxa" w:w="100"/>
              <w:right w:type="dxa" w:w="120"/>
            </w:tcMar>
          </w:tcPr>
          <w:p>
            <w:r>
              <w:rPr>
                <w:rFonts w:ascii="Arial" w:cs="Arial" w:eastAsia="Arial" w:hAnsi="Arial"/>
                <w:b/>
                <w:bCs/>
                <w:color w:val="FFFFFF"/>
                <w:sz w:val="22"/>
                <w:szCs w:val="22"/>
              </w:rPr>
              <w:t xml:space="preserve">Time</w:t>
            </w:r>
          </w:p>
        </w:tc>
        <w:tc>
          <w:tcPr>
            <w:tcW w:type="dxa" w:w="1800"/>
            <w:tcBorders>
              <w:top w:val="single" w:color="D1D5DB" w:sz="4"/>
              <w:left w:val="single" w:color="D1D5DB" w:sz="4"/>
              <w:bottom w:val="single" w:color="D1D5DB" w:sz="4"/>
              <w:right w:val="single" w:color="D1D5DB" w:sz="4"/>
            </w:tcBorders>
            <w:shd w:fill="4F46E5" w:val="clear"/>
            <w:tcMar>
              <w:top w:type="dxa" w:w="100"/>
              <w:left w:type="dxa" w:w="120"/>
              <w:bottom w:type="dxa" w:w="100"/>
              <w:right w:type="dxa" w:w="120"/>
            </w:tcMar>
          </w:tcPr>
          <w:p>
            <w:r>
              <w:rPr>
                <w:rFonts w:ascii="Arial" w:cs="Arial" w:eastAsia="Arial" w:hAnsi="Arial"/>
                <w:b/>
                <w:bCs/>
                <w:color w:val="FFFFFF"/>
                <w:sz w:val="22"/>
                <w:szCs w:val="22"/>
              </w:rPr>
              <w:t xml:space="preserve">Focus</w:t>
            </w:r>
          </w:p>
        </w:tc>
        <w:tc>
          <w:tcPr>
            <w:tcW w:type="dxa" w:w="5900"/>
            <w:tcBorders>
              <w:top w:val="single" w:color="D1D5DB" w:sz="4"/>
              <w:left w:val="single" w:color="D1D5DB" w:sz="4"/>
              <w:bottom w:val="single" w:color="D1D5DB" w:sz="4"/>
              <w:right w:val="single" w:color="D1D5DB" w:sz="4"/>
            </w:tcBorders>
            <w:shd w:fill="4F46E5" w:val="clear"/>
            <w:tcMar>
              <w:top w:type="dxa" w:w="100"/>
              <w:left w:type="dxa" w:w="120"/>
              <w:bottom w:type="dxa" w:w="100"/>
              <w:right w:type="dxa" w:w="120"/>
            </w:tcMar>
          </w:tcPr>
          <w:p>
            <w:r>
              <w:rPr>
                <w:rFonts w:ascii="Arial" w:cs="Arial" w:eastAsia="Arial" w:hAnsi="Arial"/>
                <w:b/>
                <w:bCs/>
                <w:color w:val="FFFFFF"/>
                <w:sz w:val="22"/>
                <w:szCs w:val="22"/>
              </w:rPr>
              <w:t xml:space="preserve">Tasks</w:t>
            </w:r>
          </w:p>
        </w:tc>
      </w:tr>
      <w:tr>
        <w:tc>
          <w:tcPr>
            <w:tcW w:type="dxa" w:w="460"/>
            <w:tcBorders>
              <w:top w:val="single" w:color="D1D5DB" w:sz="4"/>
              <w:left w:val="single" w:color="D1D5DB" w:sz="4"/>
              <w:bottom w:val="single" w:color="D1D5DB" w:sz="4"/>
              <w:right w:val="single" w:color="D1D5DB" w:sz="4"/>
            </w:tcBorders>
            <w:shd w:fill="E8F5E9" w:val="clear"/>
            <w:tcMar>
              <w:top w:type="dxa" w:w="100"/>
              <w:left w:type="dxa" w:w="120"/>
              <w:bottom w:type="dxa" w:w="100"/>
              <w:right w:type="dxa" w:w="120"/>
            </w:tcMar>
          </w:tcPr>
          <w:p>
            <w:r>
              <w:rPr>
                <w:rFonts w:ascii="Arial" w:cs="Arial" w:eastAsia="Arial" w:hAnsi="Arial"/>
                <w:b/>
                <w:bCs/>
                <w:color w:val="2E7D32"/>
                <w:sz w:val="24"/>
                <w:szCs w:val="24"/>
              </w:rPr>
              <w:t xml:space="preserve">A</w:t>
            </w:r>
          </w:p>
        </w:tc>
        <w:tc>
          <w:tcPr>
            <w:tcW w:type="dxa" w:w="1200"/>
            <w:tcBorders>
              <w:top w:val="single" w:color="D1D5DB" w:sz="4"/>
              <w:left w:val="single" w:color="D1D5DB" w:sz="4"/>
              <w:bottom w:val="single" w:color="D1D5DB" w:sz="4"/>
              <w:right w:val="single" w:color="D1D5DB" w:sz="4"/>
            </w:tcBorders>
            <w:shd w:fill="E8F5E9" w:val="clear"/>
            <w:tcMar>
              <w:top w:type="dxa" w:w="100"/>
              <w:left w:type="dxa" w:w="120"/>
              <w:bottom w:type="dxa" w:w="100"/>
              <w:right w:type="dxa" w:w="120"/>
            </w:tcMar>
          </w:tcPr>
          <w:p>
            <w:r>
              <w:rPr>
                <w:rFonts w:ascii="Arial" w:cs="Arial" w:eastAsia="Arial" w:hAnsi="Arial"/>
                <w:b/>
                <w:bCs/>
                <w:color w:val="2E7D32"/>
                <w:sz w:val="20"/>
                <w:szCs w:val="20"/>
              </w:rPr>
              <w:t xml:space="preserve">Hours 0–2</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Environment setup</w:t>
            </w:r>
          </w:p>
        </w:tc>
        <w:tc>
          <w:tcPr>
            <w:tcW w:type="dxa" w:w="59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Create Next.js project. Install wagmi, RainbowKit, Tailwind. Create Supabase project. Get Anthropic + Pinata API keys. Get Mumbai MATIC from faucet. Set up .env file.</w:t>
            </w:r>
          </w:p>
        </w:tc>
      </w:tr>
      <w:tr>
        <w:tc>
          <w:tcPr>
            <w:tcW w:type="dxa" w:w="460"/>
            <w:tcBorders>
              <w:top w:val="single" w:color="D1D5DB" w:sz="4"/>
              <w:left w:val="single" w:color="D1D5DB" w:sz="4"/>
              <w:bottom w:val="single" w:color="D1D5DB" w:sz="4"/>
              <w:right w:val="single" w:color="D1D5DB" w:sz="4"/>
            </w:tcBorders>
            <w:shd w:fill="FFF9C4" w:val="clear"/>
            <w:tcMar>
              <w:top w:type="dxa" w:w="100"/>
              <w:left w:type="dxa" w:w="120"/>
              <w:bottom w:type="dxa" w:w="100"/>
              <w:right w:type="dxa" w:w="120"/>
            </w:tcMar>
          </w:tcPr>
          <w:p>
            <w:r>
              <w:rPr>
                <w:rFonts w:ascii="Arial" w:cs="Arial" w:eastAsia="Arial" w:hAnsi="Arial"/>
                <w:b/>
                <w:bCs/>
                <w:color w:val="F57F17"/>
                <w:sz w:val="24"/>
                <w:szCs w:val="24"/>
              </w:rPr>
              <w:t xml:space="preserve">B</w:t>
            </w:r>
          </w:p>
        </w:tc>
        <w:tc>
          <w:tcPr>
            <w:tcW w:type="dxa" w:w="1200"/>
            <w:tcBorders>
              <w:top w:val="single" w:color="D1D5DB" w:sz="4"/>
              <w:left w:val="single" w:color="D1D5DB" w:sz="4"/>
              <w:bottom w:val="single" w:color="D1D5DB" w:sz="4"/>
              <w:right w:val="single" w:color="D1D5DB" w:sz="4"/>
            </w:tcBorders>
            <w:shd w:fill="FFF9C4" w:val="clear"/>
            <w:tcMar>
              <w:top w:type="dxa" w:w="100"/>
              <w:left w:type="dxa" w:w="120"/>
              <w:bottom w:type="dxa" w:w="100"/>
              <w:right w:type="dxa" w:w="120"/>
            </w:tcMar>
          </w:tcPr>
          <w:p>
            <w:r>
              <w:rPr>
                <w:rFonts w:ascii="Arial" w:cs="Arial" w:eastAsia="Arial" w:hAnsi="Arial"/>
                <w:b/>
                <w:bCs/>
                <w:color w:val="F57F17"/>
                <w:sz w:val="20"/>
                <w:szCs w:val="20"/>
              </w:rPr>
              <w:t xml:space="preserve">Hours 2–6</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b w:val="false"/>
                <w:bCs w:val="false"/>
                <w:color w:val="374151"/>
                <w:sz w:val="20"/>
                <w:szCs w:val="20"/>
              </w:rPr>
              <w:t xml:space="preserve">Smart contracts</w:t>
            </w:r>
          </w:p>
        </w:tc>
        <w:tc>
          <w:tcPr>
            <w:tcW w:type="dxa" w:w="59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b w:val="false"/>
                <w:bCs w:val="false"/>
                <w:color w:val="374151"/>
                <w:sz w:val="20"/>
                <w:szCs w:val="20"/>
              </w:rPr>
              <w:t xml:space="preserve">Write ReputationPassport.sol (ERC-721 soulbound) and TrustWorkEscrow.sol. Write Hardhat tests. Deploy both to Polygon Mumbai. Copy contract addresses into .env.</w:t>
            </w:r>
          </w:p>
        </w:tc>
      </w:tr>
      <w:tr>
        <w:tc>
          <w:tcPr>
            <w:tcW w:type="dxa" w:w="460"/>
            <w:tcBorders>
              <w:top w:val="single" w:color="D1D5DB" w:sz="4"/>
              <w:left w:val="single" w:color="D1D5DB" w:sz="4"/>
              <w:bottom w:val="single" w:color="D1D5DB" w:sz="4"/>
              <w:right w:val="single" w:color="D1D5DB" w:sz="4"/>
            </w:tcBorders>
            <w:shd w:fill="FFF3E0" w:val="clear"/>
            <w:tcMar>
              <w:top w:type="dxa" w:w="100"/>
              <w:left w:type="dxa" w:w="120"/>
              <w:bottom w:type="dxa" w:w="100"/>
              <w:right w:type="dxa" w:w="120"/>
            </w:tcMar>
          </w:tcPr>
          <w:p>
            <w:r>
              <w:rPr>
                <w:rFonts w:ascii="Arial" w:cs="Arial" w:eastAsia="Arial" w:hAnsi="Arial"/>
                <w:b/>
                <w:bCs/>
                <w:color w:val="E65100"/>
                <w:sz w:val="24"/>
                <w:szCs w:val="24"/>
              </w:rPr>
              <w:t xml:space="preserve">C</w:t>
            </w:r>
          </w:p>
        </w:tc>
        <w:tc>
          <w:tcPr>
            <w:tcW w:type="dxa" w:w="1200"/>
            <w:tcBorders>
              <w:top w:val="single" w:color="D1D5DB" w:sz="4"/>
              <w:left w:val="single" w:color="D1D5DB" w:sz="4"/>
              <w:bottom w:val="single" w:color="D1D5DB" w:sz="4"/>
              <w:right w:val="single" w:color="D1D5DB" w:sz="4"/>
            </w:tcBorders>
            <w:shd w:fill="FFF3E0" w:val="clear"/>
            <w:tcMar>
              <w:top w:type="dxa" w:w="100"/>
              <w:left w:type="dxa" w:w="120"/>
              <w:bottom w:type="dxa" w:w="100"/>
              <w:right w:type="dxa" w:w="120"/>
            </w:tcMar>
          </w:tcPr>
          <w:p>
            <w:r>
              <w:rPr>
                <w:rFonts w:ascii="Arial" w:cs="Arial" w:eastAsia="Arial" w:hAnsi="Arial"/>
                <w:b/>
                <w:bCs/>
                <w:color w:val="E65100"/>
                <w:sz w:val="20"/>
                <w:szCs w:val="20"/>
              </w:rPr>
              <w:t xml:space="preserve">Hours 6–10</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Auth + SIWE</w:t>
            </w:r>
          </w:p>
        </w:tc>
        <w:tc>
          <w:tcPr>
            <w:tcW w:type="dxa" w:w="59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Build Express backend. Add SIWE endpoint. Add JWT issuance. Test wallet login in Postman. Wire RainbowKit on frontend to call the SIWE endpoint.</w:t>
            </w:r>
          </w:p>
        </w:tc>
      </w:tr>
      <w:tr>
        <w:tc>
          <w:tcPr>
            <w:tcW w:type="dxa" w:w="460"/>
            <w:tcBorders>
              <w:top w:val="single" w:color="D1D5DB" w:sz="4"/>
              <w:left w:val="single" w:color="D1D5DB" w:sz="4"/>
              <w:bottom w:val="single" w:color="D1D5DB" w:sz="4"/>
              <w:right w:val="single" w:color="D1D5DB" w:sz="4"/>
            </w:tcBorders>
            <w:shd w:fill="E3F2FD" w:val="clear"/>
            <w:tcMar>
              <w:top w:type="dxa" w:w="100"/>
              <w:left w:type="dxa" w:w="120"/>
              <w:bottom w:type="dxa" w:w="100"/>
              <w:right w:type="dxa" w:w="120"/>
            </w:tcMar>
          </w:tcPr>
          <w:p>
            <w:r>
              <w:rPr>
                <w:rFonts w:ascii="Arial" w:cs="Arial" w:eastAsia="Arial" w:hAnsi="Arial"/>
                <w:b/>
                <w:bCs/>
                <w:color w:val="1565C0"/>
                <w:sz w:val="24"/>
                <w:szCs w:val="24"/>
              </w:rPr>
              <w:t xml:space="preserve">D</w:t>
            </w:r>
          </w:p>
        </w:tc>
        <w:tc>
          <w:tcPr>
            <w:tcW w:type="dxa" w:w="1200"/>
            <w:tcBorders>
              <w:top w:val="single" w:color="D1D5DB" w:sz="4"/>
              <w:left w:val="single" w:color="D1D5DB" w:sz="4"/>
              <w:bottom w:val="single" w:color="D1D5DB" w:sz="4"/>
              <w:right w:val="single" w:color="D1D5DB" w:sz="4"/>
            </w:tcBorders>
            <w:shd w:fill="E3F2FD" w:val="clear"/>
            <w:tcMar>
              <w:top w:type="dxa" w:w="100"/>
              <w:left w:type="dxa" w:w="120"/>
              <w:bottom w:type="dxa" w:w="100"/>
              <w:right w:type="dxa" w:w="120"/>
            </w:tcMar>
          </w:tcPr>
          <w:p>
            <w:r>
              <w:rPr>
                <w:rFonts w:ascii="Arial" w:cs="Arial" w:eastAsia="Arial" w:hAnsi="Arial"/>
                <w:b/>
                <w:bCs/>
                <w:color w:val="1565C0"/>
                <w:sz w:val="20"/>
                <w:szCs w:val="20"/>
              </w:rPr>
              <w:t xml:space="preserve">Hours 10–18</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b w:val="false"/>
                <w:bCs w:val="false"/>
                <w:color w:val="374151"/>
                <w:sz w:val="20"/>
                <w:szCs w:val="20"/>
              </w:rPr>
              <w:t xml:space="preserve">AI skill flow (core)</w:t>
            </w:r>
          </w:p>
        </w:tc>
        <w:tc>
          <w:tcPr>
            <w:tcW w:type="dxa" w:w="59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b w:val="false"/>
                <w:bCs w:val="false"/>
                <w:color w:val="374151"/>
                <w:sz w:val="20"/>
                <w:szCs w:val="20"/>
              </w:rPr>
              <w:t xml:space="preserve">Build POST /skills/challenge (Claude generates challenge). Build POST /skills/grade (Claude grades). Wire mint: if pass = true, upload to Pinata then call mintPassport(). Test full flow end-to-end.</w:t>
            </w:r>
          </w:p>
        </w:tc>
      </w:tr>
      <w:tr>
        <w:tc>
          <w:tcPr>
            <w:tcW w:type="dxa" w:w="460"/>
            <w:tcBorders>
              <w:top w:val="single" w:color="D1D5DB" w:sz="4"/>
              <w:left w:val="single" w:color="D1D5DB" w:sz="4"/>
              <w:bottom w:val="single" w:color="D1D5DB" w:sz="4"/>
              <w:right w:val="single" w:color="D1D5DB" w:sz="4"/>
            </w:tcBorders>
            <w:shd w:fill="F3E5F5" w:val="clear"/>
            <w:tcMar>
              <w:top w:type="dxa" w:w="100"/>
              <w:left w:type="dxa" w:w="120"/>
              <w:bottom w:type="dxa" w:w="100"/>
              <w:right w:type="dxa" w:w="120"/>
            </w:tcMar>
          </w:tcPr>
          <w:p>
            <w:r>
              <w:rPr>
                <w:rFonts w:ascii="Arial" w:cs="Arial" w:eastAsia="Arial" w:hAnsi="Arial"/>
                <w:b/>
                <w:bCs/>
                <w:color w:val="6A1B9A"/>
                <w:sz w:val="24"/>
                <w:szCs w:val="24"/>
              </w:rPr>
              <w:t xml:space="preserve">E</w:t>
            </w:r>
          </w:p>
        </w:tc>
        <w:tc>
          <w:tcPr>
            <w:tcW w:type="dxa" w:w="1200"/>
            <w:tcBorders>
              <w:top w:val="single" w:color="D1D5DB" w:sz="4"/>
              <w:left w:val="single" w:color="D1D5DB" w:sz="4"/>
              <w:bottom w:val="single" w:color="D1D5DB" w:sz="4"/>
              <w:right w:val="single" w:color="D1D5DB" w:sz="4"/>
            </w:tcBorders>
            <w:shd w:fill="F3E5F5" w:val="clear"/>
            <w:tcMar>
              <w:top w:type="dxa" w:w="100"/>
              <w:left w:type="dxa" w:w="120"/>
              <w:bottom w:type="dxa" w:w="100"/>
              <w:right w:type="dxa" w:w="120"/>
            </w:tcMar>
          </w:tcPr>
          <w:p>
            <w:r>
              <w:rPr>
                <w:rFonts w:ascii="Arial" w:cs="Arial" w:eastAsia="Arial" w:hAnsi="Arial"/>
                <w:b/>
                <w:bCs/>
                <w:color w:val="6A1B9A"/>
                <w:sz w:val="20"/>
                <w:szCs w:val="20"/>
              </w:rPr>
              <w:t xml:space="preserve">Hours 18–26</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Escrow + jobs</w:t>
            </w:r>
          </w:p>
        </w:tc>
        <w:tc>
          <w:tcPr>
            <w:tcW w:type="dxa" w:w="59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Build job post form. Build createJob() transaction (wagmi). Build Approve button to trigger releasePayment(). Build dispute form → Claude arbitration → resolveDispute(). Test full payment cycle.</w:t>
            </w:r>
          </w:p>
        </w:tc>
      </w:tr>
      <w:tr>
        <w:tc>
          <w:tcPr>
            <w:tcW w:type="dxa" w:w="460"/>
            <w:tcBorders>
              <w:top w:val="single" w:color="D1D5DB" w:sz="4"/>
              <w:left w:val="single" w:color="D1D5DB" w:sz="4"/>
              <w:bottom w:val="single" w:color="D1D5DB" w:sz="4"/>
              <w:right w:val="single" w:color="D1D5DB" w:sz="4"/>
            </w:tcBorders>
            <w:shd w:fill="FCE4EC" w:val="clear"/>
            <w:tcMar>
              <w:top w:type="dxa" w:w="100"/>
              <w:left w:type="dxa" w:w="120"/>
              <w:bottom w:type="dxa" w:w="100"/>
              <w:right w:type="dxa" w:w="120"/>
            </w:tcMar>
          </w:tcPr>
          <w:p>
            <w:r>
              <w:rPr>
                <w:rFonts w:ascii="Arial" w:cs="Arial" w:eastAsia="Arial" w:hAnsi="Arial"/>
                <w:b/>
                <w:bCs/>
                <w:color w:val="AD1457"/>
                <w:sz w:val="24"/>
                <w:szCs w:val="24"/>
              </w:rPr>
              <w:t xml:space="preserve">F</w:t>
            </w:r>
          </w:p>
        </w:tc>
        <w:tc>
          <w:tcPr>
            <w:tcW w:type="dxa" w:w="1200"/>
            <w:tcBorders>
              <w:top w:val="single" w:color="D1D5DB" w:sz="4"/>
              <w:left w:val="single" w:color="D1D5DB" w:sz="4"/>
              <w:bottom w:val="single" w:color="D1D5DB" w:sz="4"/>
              <w:right w:val="single" w:color="D1D5DB" w:sz="4"/>
            </w:tcBorders>
            <w:shd w:fill="FCE4EC" w:val="clear"/>
            <w:tcMar>
              <w:top w:type="dxa" w:w="100"/>
              <w:left w:type="dxa" w:w="120"/>
              <w:bottom w:type="dxa" w:w="100"/>
              <w:right w:type="dxa" w:w="120"/>
            </w:tcMar>
          </w:tcPr>
          <w:p>
            <w:r>
              <w:rPr>
                <w:rFonts w:ascii="Arial" w:cs="Arial" w:eastAsia="Arial" w:hAnsi="Arial"/>
                <w:b/>
                <w:bCs/>
                <w:color w:val="AD1457"/>
                <w:sz w:val="20"/>
                <w:szCs w:val="20"/>
              </w:rPr>
              <w:t xml:space="preserve">Hours 26–32</w:t>
            </w:r>
          </w:p>
        </w:tc>
        <w:tc>
          <w:tcPr>
            <w:tcW w:type="dxa" w:w="18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b w:val="false"/>
                <w:bCs w:val="false"/>
                <w:color w:val="374151"/>
                <w:sz w:val="20"/>
                <w:szCs w:val="20"/>
              </w:rPr>
              <w:t xml:space="preserve">UI polish</w:t>
            </w:r>
          </w:p>
        </w:tc>
        <w:tc>
          <w:tcPr>
            <w:tcW w:type="dxa" w:w="59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b w:val="false"/>
                <w:bCs w:val="false"/>
                <w:color w:val="374151"/>
                <w:sz w:val="20"/>
                <w:szCs w:val="20"/>
              </w:rPr>
              <w:t xml:space="preserve">Freelancer profile page reading NFT data from contract. Animated NFT card. Escrow flow visual. Responsive layout. Error states (wallet not connected, tx failed).</w:t>
            </w:r>
          </w:p>
        </w:tc>
      </w:tr>
      <w:tr>
        <w:tc>
          <w:tcPr>
            <w:tcW w:type="dxa" w:w="460"/>
            <w:tcBorders>
              <w:top w:val="single" w:color="D1D5DB" w:sz="4"/>
              <w:left w:val="single" w:color="D1D5DB" w:sz="4"/>
              <w:bottom w:val="single" w:color="D1D5DB" w:sz="4"/>
              <w:right w:val="single" w:color="D1D5DB" w:sz="4"/>
            </w:tcBorders>
            <w:shd w:fill="E0F7FA" w:val="clear"/>
            <w:tcMar>
              <w:top w:type="dxa" w:w="100"/>
              <w:left w:type="dxa" w:w="120"/>
              <w:bottom w:type="dxa" w:w="100"/>
              <w:right w:type="dxa" w:w="120"/>
            </w:tcMar>
          </w:tcPr>
          <w:p>
            <w:r>
              <w:rPr>
                <w:rFonts w:ascii="Arial" w:cs="Arial" w:eastAsia="Arial" w:hAnsi="Arial"/>
                <w:b/>
                <w:bCs/>
                <w:color w:val="00695C"/>
                <w:sz w:val="24"/>
                <w:szCs w:val="24"/>
              </w:rPr>
              <w:t xml:space="preserve">G</w:t>
            </w:r>
          </w:p>
        </w:tc>
        <w:tc>
          <w:tcPr>
            <w:tcW w:type="dxa" w:w="1200"/>
            <w:tcBorders>
              <w:top w:val="single" w:color="D1D5DB" w:sz="4"/>
              <w:left w:val="single" w:color="D1D5DB" w:sz="4"/>
              <w:bottom w:val="single" w:color="D1D5DB" w:sz="4"/>
              <w:right w:val="single" w:color="D1D5DB" w:sz="4"/>
            </w:tcBorders>
            <w:shd w:fill="E0F7FA" w:val="clear"/>
            <w:tcMar>
              <w:top w:type="dxa" w:w="100"/>
              <w:left w:type="dxa" w:w="120"/>
              <w:bottom w:type="dxa" w:w="100"/>
              <w:right w:type="dxa" w:w="120"/>
            </w:tcMar>
          </w:tcPr>
          <w:p>
            <w:r>
              <w:rPr>
                <w:rFonts w:ascii="Arial" w:cs="Arial" w:eastAsia="Arial" w:hAnsi="Arial"/>
                <w:b/>
                <w:bCs/>
                <w:color w:val="00695C"/>
                <w:sz w:val="20"/>
                <w:szCs w:val="20"/>
              </w:rPr>
              <w:t xml:space="preserve">Hours 32–36</w:t>
            </w:r>
          </w:p>
        </w:tc>
        <w:tc>
          <w:tcPr>
            <w:tcW w:type="dxa" w:w="18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Demo prep</w:t>
            </w:r>
          </w:p>
        </w:tc>
        <w:tc>
          <w:tcPr>
            <w:tcW w:type="dxa" w:w="59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b w:val="false"/>
                <w:bCs w:val="false"/>
                <w:color w:val="374151"/>
                <w:sz w:val="20"/>
                <w:szCs w:val="20"/>
              </w:rPr>
              <w:t xml:space="preserve">Pre-fund 3 wallets with Mumbai MATIC. Run the full demo flow 5 times. Screenshot every step as backup. Deploy frontend to Vercel, backend to Railway. Record 60-second Loom fallback video.</w:t>
            </w:r>
          </w:p>
        </w:tc>
      </w:tr>
    </w:tbl>
    <w:p>
      <w:pPr>
        <w:spacing w:after="0" w:before="200"/>
      </w:pPr>
      <w:r>
        <w:rPr>
          <w:sz w:val="20"/>
          <w:szCs w:val="20"/>
        </w:rPr>
        <w:t xml:space="preserve"/>
      </w:r>
    </w:p>
    <w:p>
      <w:pPr>
        <w:pStyle w:val="Heading1"/>
        <w:pBdr>
          <w:bottom w:val="single" w:color="4F46E5" w:sz="6" w:space="4"/>
        </w:pBdr>
        <w:spacing w:after="160" w:before="320"/>
      </w:pPr>
      <w:r>
        <w:rPr>
          <w:rFonts w:ascii="Arial" w:cs="Arial" w:eastAsia="Arial" w:hAnsi="Arial"/>
          <w:b/>
          <w:bCs/>
          <w:color w:val="4F46E5"/>
          <w:sz w:val="36"/>
          <w:szCs w:val="36"/>
        </w:rPr>
        <w:t xml:space="preserve">6. Environment Variables Reference</w:t>
      </w:r>
    </w:p>
    <w:p>
      <w:pPr>
        <w:spacing w:after="60" w:before="60"/>
        <w:jc w:val="both"/>
      </w:pPr>
      <w:r>
        <w:rPr>
          <w:rFonts w:ascii="Arial" w:cs="Arial" w:eastAsia="Arial" w:hAnsi="Arial"/>
          <w:color w:val="374151"/>
          <w:sz w:val="22"/>
          <w:szCs w:val="22"/>
        </w:rPr>
        <w:t xml:space="preserve">Copy this into your .env.example file and commit it to GitHub (without real values). Never commit the actual .env file.</w:t>
      </w:r>
    </w:p>
    <w:p>
      <w:pPr>
        <w:spacing w:after="0"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rPr>
          <w:tblHeader/>
        </w:trPr>
        <w:tc>
          <w:tcPr>
            <w:tcW w:type="dxa" w:w="3000"/>
            <w:tcBorders>
              <w:top w:val="single" w:color="D1D5DB" w:sz="4"/>
              <w:left w:val="single" w:color="D1D5DB" w:sz="4"/>
              <w:bottom w:val="single" w:color="D1D5DB" w:sz="4"/>
              <w:right w:val="single" w:color="D1D5DB" w:sz="4"/>
            </w:tcBorders>
            <w:shd w:fill="4F46E5" w:val="clear"/>
            <w:tcMar>
              <w:top w:type="dxa" w:w="100"/>
              <w:left w:type="dxa" w:w="120"/>
              <w:bottom w:type="dxa" w:w="100"/>
              <w:right w:type="dxa" w:w="120"/>
            </w:tcMar>
          </w:tcPr>
          <w:p>
            <w:r>
              <w:rPr>
                <w:rFonts w:ascii="Arial" w:cs="Arial" w:eastAsia="Arial" w:hAnsi="Arial"/>
                <w:b/>
                <w:bCs/>
                <w:color w:val="FFFFFF"/>
                <w:sz w:val="22"/>
                <w:szCs w:val="22"/>
              </w:rPr>
              <w:t xml:space="preserve">Variable</w:t>
            </w:r>
          </w:p>
        </w:tc>
        <w:tc>
          <w:tcPr>
            <w:tcW w:type="dxa" w:w="2760"/>
            <w:tcBorders>
              <w:top w:val="single" w:color="D1D5DB" w:sz="4"/>
              <w:left w:val="single" w:color="D1D5DB" w:sz="4"/>
              <w:bottom w:val="single" w:color="D1D5DB" w:sz="4"/>
              <w:right w:val="single" w:color="D1D5DB" w:sz="4"/>
            </w:tcBorders>
            <w:shd w:fill="4F46E5" w:val="clear"/>
            <w:tcMar>
              <w:top w:type="dxa" w:w="100"/>
              <w:left w:type="dxa" w:w="120"/>
              <w:bottom w:type="dxa" w:w="100"/>
              <w:right w:type="dxa" w:w="120"/>
            </w:tcMar>
          </w:tcPr>
          <w:p>
            <w:r>
              <w:rPr>
                <w:rFonts w:ascii="Arial" w:cs="Arial" w:eastAsia="Arial" w:hAnsi="Arial"/>
                <w:b/>
                <w:bCs/>
                <w:color w:val="FFFFFF"/>
                <w:sz w:val="22"/>
                <w:szCs w:val="22"/>
              </w:rPr>
              <w:t xml:space="preserve">Where Used</w:t>
            </w:r>
          </w:p>
        </w:tc>
        <w:tc>
          <w:tcPr>
            <w:tcW w:type="dxa" w:w="3600"/>
            <w:tcBorders>
              <w:top w:val="single" w:color="D1D5DB" w:sz="4"/>
              <w:left w:val="single" w:color="D1D5DB" w:sz="4"/>
              <w:bottom w:val="single" w:color="D1D5DB" w:sz="4"/>
              <w:right w:val="single" w:color="D1D5DB" w:sz="4"/>
            </w:tcBorders>
            <w:shd w:fill="4F46E5"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Courier New" w:cs="Courier New" w:eastAsia="Courier New" w:hAnsi="Courier New"/>
                <w:color w:val="1E3A8A"/>
                <w:sz w:val="20"/>
                <w:szCs w:val="20"/>
              </w:rPr>
              <w:t xml:space="preserve">ANTHROPIC_API_KEY</w:t>
            </w:r>
          </w:p>
        </w:tc>
        <w:tc>
          <w:tcPr>
            <w:tcW w:type="dxa" w:w="27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color w:val="374151"/>
                <w:sz w:val="20"/>
                <w:szCs w:val="20"/>
              </w:rPr>
              <w:t xml:space="preserve">Backend only — never expose to frontend</w:t>
            </w:r>
          </w:p>
        </w:tc>
        <w:tc>
          <w:tcPr>
            <w:tcW w:type="dxa" w:w="36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color w:val="374151"/>
                <w:sz w:val="20"/>
                <w:szCs w:val="20"/>
              </w:rPr>
              <w:t xml:space="preserve">Claude API: challenge, grading, dispute</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Courier New" w:cs="Courier New" w:eastAsia="Courier New" w:hAnsi="Courier New"/>
                <w:color w:val="1E3A8A"/>
                <w:sz w:val="20"/>
                <w:szCs w:val="20"/>
              </w:rPr>
              <w:t xml:space="preserve">NEXT_PUBLIC_WALLETCONNECT_PROJECT_ID</w:t>
            </w:r>
          </w:p>
        </w:tc>
        <w:tc>
          <w:tcPr>
            <w:tcW w:type="dxa" w:w="276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color w:val="374151"/>
                <w:sz w:val="20"/>
                <w:szCs w:val="20"/>
              </w:rPr>
              <w:t xml:space="preserve">Frontend (public)</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color w:val="374151"/>
                <w:sz w:val="20"/>
                <w:szCs w:val="20"/>
              </w:rPr>
              <w:t xml:space="preserve">RainbowKit wallet modal</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Courier New" w:cs="Courier New" w:eastAsia="Courier New" w:hAnsi="Courier New"/>
                <w:color w:val="1E3A8A"/>
                <w:sz w:val="20"/>
                <w:szCs w:val="20"/>
              </w:rPr>
              <w:t xml:space="preserve">NEXT_PUBLIC_CHAIN_ID</w:t>
            </w:r>
          </w:p>
        </w:tc>
        <w:tc>
          <w:tcPr>
            <w:tcW w:type="dxa" w:w="27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color w:val="374151"/>
                <w:sz w:val="20"/>
                <w:szCs w:val="20"/>
              </w:rPr>
              <w:t xml:space="preserve">80001 for Mumbai, 137 for Mainnet</w:t>
            </w:r>
          </w:p>
        </w:tc>
        <w:tc>
          <w:tcPr>
            <w:tcW w:type="dxa" w:w="36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color w:val="374151"/>
                <w:sz w:val="20"/>
                <w:szCs w:val="20"/>
              </w:rPr>
              <w:t xml:space="preserve">Tells wagmi which chain to use</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Courier New" w:cs="Courier New" w:eastAsia="Courier New" w:hAnsi="Courier New"/>
                <w:color w:val="1E3A8A"/>
                <w:sz w:val="20"/>
                <w:szCs w:val="20"/>
              </w:rPr>
              <w:t xml:space="preserve">DATABASE_URL</w:t>
            </w:r>
          </w:p>
        </w:tc>
        <w:tc>
          <w:tcPr>
            <w:tcW w:type="dxa" w:w="276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color w:val="374151"/>
                <w:sz w:val="20"/>
                <w:szCs w:val="20"/>
              </w:rPr>
              <w:t xml:space="preserve">Backend only</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color w:val="374151"/>
                <w:sz w:val="20"/>
                <w:szCs w:val="20"/>
              </w:rPr>
              <w:t xml:space="preserve">Supabase PostgreSQL connection string</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Courier New" w:cs="Courier New" w:eastAsia="Courier New" w:hAnsi="Courier New"/>
                <w:color w:val="1E3A8A"/>
                <w:sz w:val="20"/>
                <w:szCs w:val="20"/>
              </w:rPr>
              <w:t xml:space="preserve">PINATA_API_KEY</w:t>
            </w:r>
          </w:p>
        </w:tc>
        <w:tc>
          <w:tcPr>
            <w:tcW w:type="dxa" w:w="27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color w:val="374151"/>
                <w:sz w:val="20"/>
                <w:szCs w:val="20"/>
              </w:rPr>
              <w:t xml:space="preserve">Backend only</w:t>
            </w:r>
          </w:p>
        </w:tc>
        <w:tc>
          <w:tcPr>
            <w:tcW w:type="dxa" w:w="36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color w:val="374151"/>
                <w:sz w:val="20"/>
                <w:szCs w:val="20"/>
              </w:rPr>
              <w:t xml:space="preserve">Pinata IPFS: upload NFT metadata</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Courier New" w:cs="Courier New" w:eastAsia="Courier New" w:hAnsi="Courier New"/>
                <w:color w:val="1E3A8A"/>
                <w:sz w:val="20"/>
                <w:szCs w:val="20"/>
              </w:rPr>
              <w:t xml:space="preserve">PINATA_SECRET_KEY</w:t>
            </w:r>
          </w:p>
        </w:tc>
        <w:tc>
          <w:tcPr>
            <w:tcW w:type="dxa" w:w="276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color w:val="374151"/>
                <w:sz w:val="20"/>
                <w:szCs w:val="20"/>
              </w:rPr>
              <w:t xml:space="preserve">Backend only — never commit to Git</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color w:val="374151"/>
                <w:sz w:val="20"/>
                <w:szCs w:val="20"/>
              </w:rPr>
              <w:t xml:space="preserve">Pinata auth secret</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Courier New" w:cs="Courier New" w:eastAsia="Courier New" w:hAnsi="Courier New"/>
                <w:color w:val="1E3A8A"/>
                <w:sz w:val="20"/>
                <w:szCs w:val="20"/>
              </w:rPr>
              <w:t xml:space="preserve">PRIVATE_KEY</w:t>
            </w:r>
          </w:p>
        </w:tc>
        <w:tc>
          <w:tcPr>
            <w:tcW w:type="dxa" w:w="27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color w:val="374151"/>
                <w:sz w:val="20"/>
                <w:szCs w:val="20"/>
              </w:rPr>
              <w:t xml:space="preserve">Contracts deploy only — never expose</w:t>
            </w:r>
          </w:p>
        </w:tc>
        <w:tc>
          <w:tcPr>
            <w:tcW w:type="dxa" w:w="36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color w:val="374151"/>
                <w:sz w:val="20"/>
                <w:szCs w:val="20"/>
              </w:rPr>
              <w:t xml:space="preserve">Deployer wallet for Hardhat scripts</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Courier New" w:cs="Courier New" w:eastAsia="Courier New" w:hAnsi="Courier New"/>
                <w:color w:val="1E3A8A"/>
                <w:sz w:val="20"/>
                <w:szCs w:val="20"/>
              </w:rPr>
              <w:t xml:space="preserve">REPUTATION_CONTRACT_ADDR</w:t>
            </w:r>
          </w:p>
        </w:tc>
        <w:tc>
          <w:tcPr>
            <w:tcW w:type="dxa" w:w="276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color w:val="374151"/>
                <w:sz w:val="20"/>
                <w:szCs w:val="20"/>
              </w:rPr>
              <w:t xml:space="preserve">Backend + Frontend</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color w:val="374151"/>
                <w:sz w:val="20"/>
                <w:szCs w:val="20"/>
              </w:rPr>
              <w:t xml:space="preserve">Deployed ReputationPassport.sol address</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Courier New" w:cs="Courier New" w:eastAsia="Courier New" w:hAnsi="Courier New"/>
                <w:color w:val="1E3A8A"/>
                <w:sz w:val="20"/>
                <w:szCs w:val="20"/>
              </w:rPr>
              <w:t xml:space="preserve">ESCROW_CONTRACT_ADDR</w:t>
            </w:r>
          </w:p>
        </w:tc>
        <w:tc>
          <w:tcPr>
            <w:tcW w:type="dxa" w:w="27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color w:val="374151"/>
                <w:sz w:val="20"/>
                <w:szCs w:val="20"/>
              </w:rPr>
              <w:t xml:space="preserve">Backend + Frontend</w:t>
            </w:r>
          </w:p>
        </w:tc>
        <w:tc>
          <w:tcPr>
            <w:tcW w:type="dxa" w:w="36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color w:val="374151"/>
                <w:sz w:val="20"/>
                <w:szCs w:val="20"/>
              </w:rPr>
              <w:t xml:space="preserve">Deployed TrustWorkEscrow.sol address</w:t>
            </w:r>
          </w:p>
        </w:tc>
      </w:tr>
      <w:tr>
        <w:tc>
          <w:tcPr>
            <w:tcW w:type="dxa" w:w="30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Courier New" w:cs="Courier New" w:eastAsia="Courier New" w:hAnsi="Courier New"/>
                <w:color w:val="1E3A8A"/>
                <w:sz w:val="20"/>
                <w:szCs w:val="20"/>
              </w:rPr>
              <w:t xml:space="preserve">JWT_SECRET</w:t>
            </w:r>
          </w:p>
        </w:tc>
        <w:tc>
          <w:tcPr>
            <w:tcW w:type="dxa" w:w="276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color w:val="374151"/>
                <w:sz w:val="20"/>
                <w:szCs w:val="20"/>
              </w:rPr>
              <w:t xml:space="preserve">Backend only (32+ random chars)</w:t>
            </w:r>
          </w:p>
        </w:tc>
        <w:tc>
          <w:tcPr>
            <w:tcW w:type="dxa" w:w="3600"/>
            <w:tcBorders>
              <w:top w:val="single" w:color="D1D5DB" w:sz="4"/>
              <w:left w:val="single" w:color="D1D5DB" w:sz="4"/>
              <w:bottom w:val="single" w:color="D1D5DB" w:sz="4"/>
              <w:right w:val="single" w:color="D1D5DB" w:sz="4"/>
            </w:tcBorders>
            <w:shd w:fill="FFFFFF" w:val="clear"/>
            <w:tcMar>
              <w:top w:type="dxa" w:w="100"/>
              <w:left w:type="dxa" w:w="120"/>
              <w:bottom w:type="dxa" w:w="100"/>
              <w:right w:type="dxa" w:w="120"/>
            </w:tcMar>
          </w:tcPr>
          <w:p>
            <w:r>
              <w:rPr>
                <w:rFonts w:ascii="Arial" w:cs="Arial" w:eastAsia="Arial" w:hAnsi="Arial"/>
                <w:color w:val="374151"/>
                <w:sz w:val="20"/>
                <w:szCs w:val="20"/>
              </w:rPr>
              <w:t xml:space="preserve">Signs and verifies session JWTs</w:t>
            </w:r>
          </w:p>
        </w:tc>
      </w:tr>
      <w:tr>
        <w:tc>
          <w:tcPr>
            <w:tcW w:type="dxa" w:w="30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Courier New" w:cs="Courier New" w:eastAsia="Courier New" w:hAnsi="Courier New"/>
                <w:color w:val="1E3A8A"/>
                <w:sz w:val="20"/>
                <w:szCs w:val="20"/>
              </w:rPr>
              <w:t xml:space="preserve">POLYGONSCAN_API_KEY</w:t>
            </w:r>
          </w:p>
        </w:tc>
        <w:tc>
          <w:tcPr>
            <w:tcW w:type="dxa" w:w="27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color w:val="374151"/>
                <w:sz w:val="20"/>
                <w:szCs w:val="20"/>
              </w:rPr>
              <w:t xml:space="preserve">Contract deploy scripts only</w:t>
            </w:r>
          </w:p>
        </w:tc>
        <w:tc>
          <w:tcPr>
            <w:tcW w:type="dxa" w:w="36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tcPr>
          <w:p>
            <w:r>
              <w:rPr>
                <w:rFonts w:ascii="Arial" w:cs="Arial" w:eastAsia="Arial" w:hAnsi="Arial"/>
                <w:color w:val="374151"/>
                <w:sz w:val="20"/>
                <w:szCs w:val="20"/>
              </w:rPr>
              <w:t xml:space="preserve">Verify contracts on Polygonscan</w:t>
            </w:r>
          </w:p>
        </w:tc>
      </w:tr>
    </w:tbl>
    <w:p>
      <w:pPr>
        <w:spacing w:after="0" w:before="200"/>
      </w:pPr>
      <w:r>
        <w:rPr>
          <w:sz w:val="20"/>
          <w:szCs w:val="20"/>
        </w:rPr>
        <w:t xml:space="preserve"/>
      </w:r>
    </w:p>
    <w:p>
      <w:pPr>
        <w:pStyle w:val="Heading1"/>
        <w:pBdr>
          <w:bottom w:val="single" w:color="4F46E5" w:sz="6" w:space="4"/>
        </w:pBdr>
        <w:spacing w:after="160" w:before="320"/>
      </w:pPr>
      <w:r>
        <w:rPr>
          <w:rFonts w:ascii="Arial" w:cs="Arial" w:eastAsia="Arial" w:hAnsi="Arial"/>
          <w:b/>
          <w:bCs/>
          <w:color w:val="4F46E5"/>
          <w:sz w:val="36"/>
          <w:szCs w:val="36"/>
        </w:rPr>
        <w:t xml:space="preserve">7. Most Important Rules for Beginners</w:t>
      </w:r>
    </w:p>
    <w:p>
      <w:pPr>
        <w:pStyle w:val="Heading2"/>
        <w:spacing w:after="120" w:before="280"/>
      </w:pPr>
      <w:r>
        <w:rPr>
          <w:rFonts w:ascii="Arial" w:cs="Arial" w:eastAsia="Arial" w:hAnsi="Arial"/>
          <w:b/>
          <w:bCs/>
          <w:color w:val="374151"/>
          <w:sz w:val="26"/>
          <w:szCs w:val="26"/>
        </w:rPr>
        <w:t xml:space="preserve">7.1  The API Key Rule</w:t>
      </w:r>
    </w:p>
    <w:p>
      <w:pPr>
        <w:spacing w:after="60" w:before="60"/>
        <w:jc w:val="both"/>
      </w:pPr>
      <w:r>
        <w:rPr>
          <w:rFonts w:ascii="Arial" w:cs="Arial" w:eastAsia="Arial" w:hAnsi="Arial"/>
          <w:color w:val="374151"/>
          <w:sz w:val="22"/>
          <w:szCs w:val="22"/>
        </w:rPr>
        <w:t xml:space="preserve">Your ANTHROPIC_API_KEY must only ever exist in your backend .env file. It must never appear in any file inside the frontend/ directory. If it does, anyone visiting your site can open the browser's DevTools Network tab and steal it. Every AI call goes: Browser sends request to your backend API → Backend calls Claude → Backend returns result to browser.</w:t>
      </w:r>
    </w:p>
    <w:p>
      <w:pPr>
        <w:spacing w:after="0" w:before="60"/>
      </w:pPr>
      <w:r>
        <w:rPr>
          <w:sz w:val="20"/>
          <w:szCs w:val="20"/>
        </w:rPr>
        <w:t xml:space="preserve"/>
      </w:r>
    </w:p>
    <w:p>
      <w:pPr>
        <w:pStyle w:val="Heading2"/>
        <w:spacing w:after="120" w:before="280"/>
      </w:pPr>
      <w:r>
        <w:rPr>
          <w:rFonts w:ascii="Arial" w:cs="Arial" w:eastAsia="Arial" w:hAnsi="Arial"/>
          <w:b/>
          <w:bCs/>
          <w:color w:val="374151"/>
          <w:sz w:val="26"/>
          <w:szCs w:val="26"/>
        </w:rPr>
        <w:t xml:space="preserve">7.2  You Only Need 2 Smart Contracts</w:t>
      </w:r>
    </w:p>
    <w:p>
      <w:pPr>
        <w:spacing w:after="60" w:before="60"/>
        <w:jc w:val="both"/>
      </w:pPr>
      <w:r>
        <w:rPr>
          <w:rFonts w:ascii="Arial" w:cs="Arial" w:eastAsia="Arial" w:hAnsi="Arial"/>
          <w:color w:val="374151"/>
          <w:sz w:val="22"/>
          <w:szCs w:val="22"/>
        </w:rPr>
        <w:t xml:space="preserve">ReputationPassport.sol handles NFT minting. TrustWorkEscrow.sol handles all payments, milestones, and disputes. Deploy both to Polygon Mumbai in Phase B. Write down the two contract addresses and put them in your .env file. Everything else references those addresses.</w:t>
      </w:r>
    </w:p>
    <w:p>
      <w:pPr>
        <w:spacing w:after="0" w:before="60"/>
      </w:pPr>
      <w:r>
        <w:rPr>
          <w:sz w:val="20"/>
          <w:szCs w:val="20"/>
        </w:rPr>
        <w:t xml:space="preserve"/>
      </w:r>
    </w:p>
    <w:p>
      <w:pPr>
        <w:pStyle w:val="Heading2"/>
        <w:spacing w:after="120" w:before="280"/>
      </w:pPr>
      <w:r>
        <w:rPr>
          <w:rFonts w:ascii="Arial" w:cs="Arial" w:eastAsia="Arial" w:hAnsi="Arial"/>
          <w:b/>
          <w:bCs/>
          <w:color w:val="374151"/>
          <w:sz w:val="26"/>
          <w:szCs w:val="26"/>
        </w:rPr>
        <w:t xml:space="preserve">7.3  wagmi Does the Heavy Lifting</w:t>
      </w:r>
    </w:p>
    <w:p>
      <w:pPr>
        <w:spacing w:after="60" w:before="60"/>
        <w:jc w:val="both"/>
      </w:pPr>
      <w:r>
        <w:rPr>
          <w:rFonts w:ascii="Arial" w:cs="Arial" w:eastAsia="Arial" w:hAnsi="Arial"/>
          <w:color w:val="374151"/>
          <w:sz w:val="22"/>
          <w:szCs w:val="22"/>
        </w:rPr>
        <w:t xml:space="preserve">You do not need to write raw Web3 JSON-RPC code. The wagmi library gives you React hooks for everything. Calling a smart contract from the browser looks like:</w:t>
      </w:r>
    </w:p>
    <w:p>
      <w:pPr>
        <w:spacing w:after="0" w:before="40"/>
      </w:pPr>
      <w:r>
        <w:rPr>
          <w:sz w:val="20"/>
          <w:szCs w:val="20"/>
        </w:rPr>
        <w:t xml:space="preserve"/>
      </w:r>
    </w:p>
    <w:p>
      <w:pPr>
        <w:spacing w:after="60" w:before="60"/>
      </w:pPr>
      <w:r>
        <w:rPr>
          <w:rFonts w:ascii="Courier New" w:cs="Courier New" w:eastAsia="Courier New" w:hAnsi="Courier New"/>
          <w:color w:val="1E40AF"/>
          <w:sz w:val="20"/>
          <w:szCs w:val="20"/>
        </w:rPr>
        <w:t xml:space="preserve">const { write } = useContractWrite({ address, abi, functionName: 'createJob' })</w:t>
      </w:r>
    </w:p>
    <w:p>
      <w:pPr>
        <w:spacing w:after="80" w:before="0"/>
      </w:pPr>
      <w:r>
        <w:rPr>
          <w:rFonts w:ascii="Courier New" w:cs="Courier New" w:eastAsia="Courier New" w:hAnsi="Courier New"/>
          <w:color w:val="1E40AF"/>
          <w:sz w:val="20"/>
          <w:szCs w:val="20"/>
        </w:rPr>
        <w:t xml:space="preserve">write({ args: [freelancerAddress, milestones], value: depositAmount })</w:t>
      </w:r>
    </w:p>
    <w:p>
      <w:pPr>
        <w:spacing w:after="60" w:before="60"/>
        <w:jc w:val="both"/>
      </w:pPr>
      <w:r>
        <w:rPr>
          <w:rFonts w:ascii="Arial" w:cs="Arial" w:eastAsia="Arial" w:hAnsi="Arial"/>
          <w:color w:val="374151"/>
          <w:sz w:val="22"/>
          <w:szCs w:val="22"/>
        </w:rPr>
        <w:t xml:space="preserve">That is the entire client-side escrow deposit call. wagmi handles the MetaMask popup, gas estimation, and transaction confirmation.</w:t>
      </w:r>
    </w:p>
    <w:p>
      <w:pPr>
        <w:spacing w:after="0" w:before="60"/>
      </w:pPr>
      <w:r>
        <w:rPr>
          <w:sz w:val="20"/>
          <w:szCs w:val="20"/>
        </w:rPr>
        <w:t xml:space="preserve"/>
      </w:r>
    </w:p>
    <w:p>
      <w:pPr>
        <w:pStyle w:val="Heading2"/>
        <w:spacing w:after="120" w:before="280"/>
      </w:pPr>
      <w:r>
        <w:rPr>
          <w:rFonts w:ascii="Arial" w:cs="Arial" w:eastAsia="Arial" w:hAnsi="Arial"/>
          <w:b/>
          <w:bCs/>
          <w:color w:val="374151"/>
          <w:sz w:val="26"/>
          <w:szCs w:val="26"/>
        </w:rPr>
        <w:t xml:space="preserve">7.4  Pre-fund Test Wallets Before Demo Day</w:t>
      </w:r>
    </w:p>
    <w:p>
      <w:pPr>
        <w:spacing w:after="60" w:before="60"/>
        <w:jc w:val="both"/>
      </w:pPr>
      <w:r>
        <w:rPr>
          <w:rFonts w:ascii="Arial" w:cs="Arial" w:eastAsia="Arial" w:hAnsi="Arial"/>
          <w:color w:val="374151"/>
          <w:sz w:val="22"/>
          <w:szCs w:val="22"/>
        </w:rPr>
        <w:t xml:space="preserve">Get Mumbai MATIC from the Polygon faucet at least 24 hours before your demo. Prepare 3 wallets: one as the platform admin (for deploying contracts), one as a test freelancer, and one as a test client. Practice the full flow — connect wallet, take skill challenge, mint NFT, post job, lock escrow, approve, receive payment — at least 5 times before presenting.</w:t>
      </w:r>
    </w:p>
    <w:p>
      <w:pPr>
        <w:spacing w:after="0" w:before="60"/>
      </w:pPr>
      <w:r>
        <w:rPr>
          <w:sz w:val="20"/>
          <w:szCs w:val="20"/>
        </w:rPr>
        <w:t xml:space="preserve"/>
      </w:r>
    </w:p>
    <w:p>
      <w:pPr>
        <w:pStyle w:val="Heading2"/>
        <w:spacing w:after="120" w:before="280"/>
      </w:pPr>
      <w:r>
        <w:rPr>
          <w:rFonts w:ascii="Arial" w:cs="Arial" w:eastAsia="Arial" w:hAnsi="Arial"/>
          <w:b/>
          <w:bCs/>
          <w:color w:val="374151"/>
          <w:sz w:val="26"/>
          <w:szCs w:val="26"/>
        </w:rPr>
        <w:t xml:space="preserve">7.5  Screenshot Every Step</w:t>
      </w:r>
    </w:p>
    <w:p>
      <w:pPr>
        <w:spacing w:after="60" w:before="60"/>
        <w:jc w:val="both"/>
      </w:pPr>
      <w:r>
        <w:rPr>
          <w:rFonts w:ascii="Arial" w:cs="Arial" w:eastAsia="Arial" w:hAnsi="Arial"/>
          <w:color w:val="374151"/>
          <w:sz w:val="22"/>
          <w:szCs w:val="22"/>
        </w:rPr>
        <w:t xml:space="preserve">Take screenshots at every important moment during your test runs: NFT mint confirmation on Polygonscan, escrow transaction hash, dispute resolution on-chain. If anything goes wrong during the live demo, these screenshots are your backup evidence for judges.</w:t>
      </w:r>
    </w:p>
    <w:p>
      <w:pPr>
        <w:spacing w:after="0" w:before="200"/>
      </w:pPr>
      <w:r>
        <w:rPr>
          <w:sz w:val="20"/>
          <w:szCs w:val="20"/>
        </w:rPr>
        <w:t xml:space="preserve"/>
      </w:r>
    </w:p>
    <w:p>
      <w:pPr>
        <w:pStyle w:val="Heading1"/>
        <w:pBdr>
          <w:bottom w:val="single" w:color="4F46E5" w:sz="6" w:space="4"/>
        </w:pBdr>
        <w:spacing w:after="160" w:before="320"/>
      </w:pPr>
      <w:r>
        <w:rPr>
          <w:rFonts w:ascii="Arial" w:cs="Arial" w:eastAsia="Arial" w:hAnsi="Arial"/>
          <w:b/>
          <w:bCs/>
          <w:color w:val="4F46E5"/>
          <w:sz w:val="36"/>
          <w:szCs w:val="36"/>
        </w:rPr>
        <w:t xml:space="preserve">8. How This Stack Scales to Startup Level</w:t>
      </w:r>
    </w:p>
    <w:p>
      <w:pPr>
        <w:spacing w:after="60" w:before="60"/>
        <w:jc w:val="both"/>
      </w:pPr>
      <w:r>
        <w:rPr>
          <w:rFonts w:ascii="Arial" w:cs="Arial" w:eastAsia="Arial" w:hAnsi="Arial"/>
          <w:color w:val="374151"/>
          <w:sz w:val="22"/>
          <w:szCs w:val="22"/>
        </w:rPr>
        <w:t xml:space="preserve">Every tool chosen in this stack is already used in production by funded Web3 startups. The path from hackathon MVP to funded product requires minimal changes:</w:t>
      </w:r>
    </w:p>
    <w:p>
      <w:pPr>
        <w:spacing w:after="0" w:before="80"/>
      </w:pPr>
      <w:r>
        <w:rPr>
          <w:sz w:val="20"/>
          <w:szCs w:val="20"/>
        </w:rPr>
        <w:t xml:space="preserve"/>
      </w:r>
    </w:p>
    <w:p>
      <w:pPr>
        <w:spacing w:after="40" w:before="40"/>
      </w:pPr>
      <w:r>
        <w:rPr>
          <w:rFonts w:ascii="Arial" w:cs="Arial" w:eastAsia="Arial" w:hAnsi="Arial"/>
          <w:b/>
          <w:bCs/>
          <w:color w:val="4F46E5"/>
          <w:sz w:val="22"/>
          <w:szCs w:val="22"/>
        </w:rPr>
        <w:t xml:space="preserve">Polygon Mumbai → Mainnet: </w:t>
      </w:r>
      <w:r>
        <w:rPr>
          <w:rFonts w:ascii="Arial" w:cs="Arial" w:eastAsia="Arial" w:hAnsi="Arial"/>
          <w:color w:val="374151"/>
          <w:sz w:val="22"/>
          <w:szCs w:val="22"/>
        </w:rPr>
        <w:t xml:space="preserve">Change NEXT_PUBLIC_CHAIN_ID from 80001 to 137 and PRIVATE_KEY to your mainnet deployer. Contracts are identical.</w:t>
      </w:r>
    </w:p>
    <w:p>
      <w:pPr>
        <w:spacing w:after="40" w:before="40"/>
      </w:pPr>
      <w:r>
        <w:rPr>
          <w:rFonts w:ascii="Arial" w:cs="Arial" w:eastAsia="Arial" w:hAnsi="Arial"/>
          <w:b/>
          <w:bCs/>
          <w:color w:val="4F46E5"/>
          <w:sz w:val="22"/>
          <w:szCs w:val="22"/>
        </w:rPr>
        <w:t xml:space="preserve">MATIC → USDC payments: </w:t>
      </w:r>
      <w:r>
        <w:rPr>
          <w:rFonts w:ascii="Arial" w:cs="Arial" w:eastAsia="Arial" w:hAnsi="Arial"/>
          <w:color w:val="374151"/>
          <w:sz w:val="22"/>
          <w:szCs w:val="22"/>
        </w:rPr>
        <w:t xml:space="preserve">Update TrustWorkEscrow.sol to accept ERC-20 (USDC) instead of native MATIC. Add token address to escrow constructor.</w:t>
      </w:r>
    </w:p>
    <w:p>
      <w:pPr>
        <w:spacing w:after="40" w:before="40"/>
      </w:pPr>
      <w:r>
        <w:rPr>
          <w:rFonts w:ascii="Arial" w:cs="Arial" w:eastAsia="Arial" w:hAnsi="Arial"/>
          <w:b/>
          <w:bCs/>
          <w:color w:val="4F46E5"/>
          <w:sz w:val="22"/>
          <w:szCs w:val="22"/>
        </w:rPr>
        <w:t xml:space="preserve">Railway → AWS/GCP: </w:t>
      </w:r>
      <w:r>
        <w:rPr>
          <w:rFonts w:ascii="Arial" w:cs="Arial" w:eastAsia="Arial" w:hAnsi="Arial"/>
          <w:color w:val="374151"/>
          <w:sz w:val="22"/>
          <w:szCs w:val="22"/>
        </w:rPr>
        <w:t xml:space="preserve">Your Express backend is stateless. Put it behind Docker and deploy to ECS or Cloud Run. Zero code changes.</w:t>
      </w:r>
    </w:p>
    <w:p>
      <w:pPr>
        <w:spacing w:after="40" w:before="40"/>
      </w:pPr>
      <w:r>
        <w:rPr>
          <w:rFonts w:ascii="Arial" w:cs="Arial" w:eastAsia="Arial" w:hAnsi="Arial"/>
          <w:b/>
          <w:bCs/>
          <w:color w:val="4F46E5"/>
          <w:sz w:val="22"/>
          <w:szCs w:val="22"/>
        </w:rPr>
        <w:t xml:space="preserve">Free Supabase → Paid tier: </w:t>
      </w:r>
      <w:r>
        <w:rPr>
          <w:rFonts w:ascii="Arial" w:cs="Arial" w:eastAsia="Arial" w:hAnsi="Arial"/>
          <w:color w:val="374151"/>
          <w:sz w:val="22"/>
          <w:szCs w:val="22"/>
        </w:rPr>
        <w:t xml:space="preserve">Same API, just upgrade the plan. Prisma migrations already handle schema changes.</w:t>
      </w:r>
    </w:p>
    <w:p>
      <w:pPr>
        <w:spacing w:after="40" w:before="40"/>
      </w:pPr>
      <w:r>
        <w:rPr>
          <w:rFonts w:ascii="Arial" w:cs="Arial" w:eastAsia="Arial" w:hAnsi="Arial"/>
          <w:b/>
          <w:bCs/>
          <w:color w:val="4F46E5"/>
          <w:sz w:val="22"/>
          <w:szCs w:val="22"/>
        </w:rPr>
        <w:t xml:space="preserve">Claude API rate limits: </w:t>
      </w:r>
      <w:r>
        <w:rPr>
          <w:rFonts w:ascii="Arial" w:cs="Arial" w:eastAsia="Arial" w:hAnsi="Arial"/>
          <w:color w:val="374151"/>
          <w:sz w:val="22"/>
          <w:szCs w:val="22"/>
        </w:rPr>
        <w:t xml:space="preserve">Add a request queue with bull.js and exponential backoff. Already accounted for in your PRD's NFR requirements.</w:t>
      </w:r>
    </w:p>
    <w:p>
      <w:pPr>
        <w:spacing w:after="40" w:before="40"/>
      </w:pPr>
      <w:r>
        <w:rPr>
          <w:rFonts w:ascii="Arial" w:cs="Arial" w:eastAsia="Arial" w:hAnsi="Arial"/>
          <w:b/>
          <w:bCs/>
          <w:color w:val="4F46E5"/>
          <w:sz w:val="22"/>
          <w:szCs w:val="22"/>
        </w:rPr>
        <w:t xml:space="preserve">Smart contract audit: </w:t>
      </w:r>
      <w:r>
        <w:rPr>
          <w:rFonts w:ascii="Arial" w:cs="Arial" w:eastAsia="Arial" w:hAnsi="Arial"/>
          <w:color w:val="374151"/>
          <w:sz w:val="22"/>
          <w:szCs w:val="22"/>
        </w:rPr>
        <w:t xml:space="preserve">Before holding significant funds, get a professional audit. Use the Hardhat test suite (100% branch coverage) as your starting point.</w:t>
      </w:r>
    </w:p>
    <w:p>
      <w:pPr>
        <w:spacing w:after="0" w:before="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single" w:color="4F46E5" w:sz="24"/>
              <w:bottom w:val="single" w:color="C7D2FE" w:sz="4"/>
              <w:right w:val="single" w:color="C7D2FE" w:sz="4"/>
            </w:tcBorders>
            <w:shd w:fill="EEF2FF" w:val="clear"/>
            <w:tcMar>
              <w:top w:type="dxa" w:w="120"/>
              <w:left w:type="dxa" w:w="200"/>
              <w:bottom w:type="dxa" w:w="120"/>
              <w:right w:type="dxa" w:w="160"/>
            </w:tcMar>
          </w:tcPr>
          <w:p>
            <w:pPr>
              <w:spacing w:after="60"/>
            </w:pPr>
            <w:r>
              <w:rPr>
                <w:rFonts w:ascii="Arial" w:cs="Arial" w:eastAsia="Arial" w:hAnsi="Arial"/>
                <w:b/>
                <w:bCs/>
                <w:color w:val="4F46E5"/>
                <w:sz w:val="22"/>
                <w:szCs w:val="22"/>
              </w:rPr>
              <w:t xml:space="preserve">Startup moat note</w:t>
            </w:r>
          </w:p>
          <w:p>
            <w:pPr>
              <w:spacing w:after="40" w:before="40"/>
            </w:pPr>
            <w:r>
              <w:rPr>
                <w:rFonts w:ascii="Arial" w:cs="Arial" w:eastAsia="Arial" w:hAnsi="Arial"/>
                <w:color w:val="374151"/>
                <w:sz w:val="20"/>
                <w:szCs w:val="20"/>
              </w:rPr>
              <w:t xml:space="preserve">The long-term moat in TrustWork X is the reputation graph — a network of AI-verified, on-chain professional</w:t>
            </w:r>
          </w:p>
          <w:p>
            <w:pPr>
              <w:spacing w:after="40" w:before="40"/>
            </w:pPr>
            <w:r>
              <w:rPr>
                <w:rFonts w:ascii="Arial" w:cs="Arial" w:eastAsia="Arial" w:hAnsi="Arial"/>
                <w:color w:val="374151"/>
                <w:sz w:val="20"/>
                <w:szCs w:val="20"/>
              </w:rPr>
              <w:t xml:space="preserve">identities. This data network effect is the reason to stay on Polygon rather than switching chains later.</w:t>
            </w:r>
          </w:p>
          <w:p>
            <w:pPr>
              <w:spacing w:after="40" w:before="40"/>
            </w:pPr>
            <w:r>
              <w:rPr>
                <w:rFonts w:ascii="Arial" w:cs="Arial" w:eastAsia="Arial" w:hAnsi="Arial"/>
                <w:color w:val="374151"/>
                <w:sz w:val="20"/>
                <w:szCs w:val="20"/>
              </w:rPr>
              <w:t xml:space="preserve">Every NFT minted and every escrow transaction adds to a public, portable, verifiable professional identity graph</w:t>
            </w:r>
          </w:p>
          <w:p>
            <w:pPr>
              <w:spacing w:after="40" w:before="40"/>
            </w:pPr>
            <w:r>
              <w:rPr>
                <w:rFonts w:ascii="Arial" w:cs="Arial" w:eastAsia="Arial" w:hAnsi="Arial"/>
                <w:color w:val="374151"/>
                <w:sz w:val="20"/>
                <w:szCs w:val="20"/>
              </w:rPr>
              <w:t xml:space="preserve">that no centralised competitor can replicate without freelancer trust.</w:t>
            </w:r>
          </w:p>
        </w:tc>
      </w:tr>
    </w:tbl>
    <w:p>
      <w:pPr>
        <w:spacing w:after="0" w:before="200"/>
      </w:pPr>
      <w:r>
        <w:rPr>
          <w:sz w:val="20"/>
          <w:szCs w:val="20"/>
        </w:rPr>
        <w:t xml:space="preserve"/>
      </w:r>
    </w:p>
    <w:p>
      <w:pPr>
        <w:pBdr>
          <w:top w:val="single" w:color="D1D5DB" w:sz="4" w:space="6"/>
        </w:pBdr>
        <w:spacing w:before="40"/>
        <w:jc w:val="center"/>
      </w:pPr>
      <w:r>
        <w:rPr>
          <w:rFonts w:ascii="Arial" w:cs="Arial" w:eastAsia="Arial" w:hAnsi="Arial"/>
          <w:i/>
          <w:iCs/>
          <w:color w:val="6B7280"/>
          <w:sz w:val="18"/>
          <w:szCs w:val="18"/>
        </w:rPr>
        <w:t xml:space="preserve">Document prepared for Antigravity by TrustWork X founding team  ·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6B7280"/>
        <w:sz w:val="18"/>
        <w:szCs w:val="18"/>
      </w:rPr>
      <w:t xml:space="preserve">TrustWork X  |  Tech Stack Brief  |  Prepared for Antigravity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4F46E5"/>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7415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2026-04-28T07:12:33.202Z</dcterms:created>
  <dcterms:modified xsi:type="dcterms:W3CDTF">2026-04-28T07:12:33.203Z</dcterms:modified>
</cp:coreProperties>
</file>

<file path=docProps/custom.xml><?xml version="1.0" encoding="utf-8"?>
<Properties xmlns="http://schemas.openxmlformats.org/officeDocument/2006/custom-properties" xmlns:vt="http://schemas.openxmlformats.org/officeDocument/2006/docPropsVTypes"/>
</file>