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Final Report</w:t>
      </w:r>
    </w:p>
    <w:p>
      <w:r>
        <w:t>Cryptocurrency Volatility Prediction</w:t>
      </w:r>
    </w:p>
    <w:p>
      <w:r>
        <w:t>Document version: 1.0</w:t>
      </w:r>
    </w:p>
    <w:p>
      <w:pPr>
        <w:pStyle w:val="Heading1"/>
      </w:pPr>
      <w:r>
        <w:t>1. Executive summary</w:t>
      </w:r>
    </w:p>
    <w:p>
      <w:r>
        <w:t>This project builds a supervised regression model that estimates forward five-day realized volatility from daily OHLCV and market capitalization history across many cryptocurrencies. A gradient boosting regressor is trained with a chronological holdout split; performance is reported with RMSE, MAE, and R². A Streamlit app exposes metrics and single-point predictions for exploration.</w:t>
      </w:r>
    </w:p>
    <w:p>
      <w:pPr>
        <w:pStyle w:val="Heading1"/>
      </w:pPr>
      <w:r>
        <w:t>2. Dataset and preprocessing</w:t>
      </w:r>
    </w:p>
    <w:p>
      <w:r>
        <w:t>The dataset provides daily observations per coin with open, high, low, close, volume, and marketCap. Rows with invalid or missing core fields are removed. Each series is processed in date order so rolling features respect time.</w:t>
      </w:r>
    </w:p>
    <w:p>
      <w:pPr>
        <w:pStyle w:val="Heading1"/>
      </w:pPr>
      <w:r>
        <w:t>3. Methodology</w:t>
      </w:r>
    </w:p>
    <w:p>
      <w:pPr>
        <w:pStyle w:val="Heading2"/>
      </w:pPr>
      <w:r>
        <w:t>3.1 Target definition</w:t>
      </w:r>
    </w:p>
    <w:p>
      <w:r>
        <w:t>The target is the standard deviation of the next five daily log returns (forward realized volatility). This aligns with the goal of anticipating near-term turbulence while keeping input features based only on information available through the current day.</w:t>
      </w:r>
    </w:p>
    <w:p>
      <w:pPr>
        <w:pStyle w:val="Heading2"/>
      </w:pPr>
      <w:r>
        <w:t>3.2 Features</w:t>
      </w:r>
    </w:p>
    <w:p>
      <w:r>
        <w:t>Inputs combine momentum and volatility history (rolling volatilities, MA distance), Bollinger bandwidth as a volatility envelope proxy, intraday range and body size relative to price, a simple liquidity proxy (volume divided by market cap), log market cap scale, and an identifier for which asset the row belongs to.</w:t>
      </w:r>
    </w:p>
    <w:p>
      <w:pPr>
        <w:pStyle w:val="Heading2"/>
      </w:pPr>
      <w:r>
        <w:t>3.3 Model and validation</w:t>
      </w:r>
    </w:p>
    <w:p>
      <w:r>
        <w:t>HistGradientBoostingRegressor was chosen for strong nonlinear fitting with efficient handling of numeric features. Evaluation uses the last 15% of rows by date as a holdout set to mimic deployment on more recent market conditions.</w:t>
      </w:r>
    </w:p>
    <w:p>
      <w:pPr>
        <w:pStyle w:val="Heading1"/>
      </w:pPr>
      <w:r>
        <w:t>4. Results</w:t>
      </w:r>
    </w:p>
    <w:p>
      <w:r>
        <w:t>Latest training run metrics on the chronological holdout: RMSE = 0.036552, MAE = 0.022816, R² = 0.1818. Training rows: 59449; test rows: 10491.</w:t>
      </w:r>
    </w:p>
    <w:p>
      <w:r>
        <w:t>Target definition recorded in metrics: forward_5d_realized_volatility (std of next 5 daily log returns).</w:t>
      </w:r>
    </w:p>
    <w:p>
      <w:pPr>
        <w:pStyle w:val="Heading1"/>
      </w:pPr>
      <w:r>
        <w:t>5. Key insights</w:t>
      </w:r>
    </w:p>
    <w:p>
      <w:pPr>
        <w:pStyle w:val="ListBullet"/>
      </w:pPr>
      <w:r>
        <w:t>Volatility is inherently difficult to forecast; moderate R² is expected without external signals or alternative data.</w:t>
      </w:r>
    </w:p>
    <w:p>
      <w:pPr>
        <w:pStyle w:val="ListBullet"/>
      </w:pPr>
      <w:r>
        <w:t>Rolling historical volatility and range-based features provide a sensible baseline for short-horizon realized vol.</w:t>
      </w:r>
    </w:p>
    <w:p>
      <w:pPr>
        <w:pStyle w:val="ListBullet"/>
      </w:pPr>
      <w:r>
        <w:t>Time-ordered evaluation gives a more realistic sense of performance than a random split.</w:t>
      </w:r>
    </w:p>
    <w:p>
      <w:pPr>
        <w:pStyle w:val="Heading1"/>
      </w:pPr>
      <w:r>
        <w:t>6. Deliverables checklist</w:t>
      </w:r>
    </w:p>
    <w:p>
      <w:pPr>
        <w:pStyle w:val="ListBullet"/>
      </w:pPr>
      <w:r>
        <w:t>Source code under src/, streamlit_app.py, scripts, requirements.txt.</w:t>
      </w:r>
    </w:p>
    <w:p>
      <w:pPr>
        <w:pStyle w:val="ListBullet"/>
      </w:pPr>
      <w:r>
        <w:t>Trained model and metrics under artifacts/ (after training).</w:t>
      </w:r>
    </w:p>
    <w:p>
      <w:pPr>
        <w:pStyle w:val="ListBullet"/>
      </w:pPr>
      <w:r>
        <w:t>EDA plots and summary under reports/.</w:t>
      </w:r>
    </w:p>
    <w:p>
      <w:pPr>
        <w:pStyle w:val="ListBullet"/>
      </w:pPr>
      <w:r>
        <w:t>Word documents: HLD, LLD, Pipeline Architecture, EDA Report, Final Report (this folder).</w:t>
      </w:r>
    </w:p>
    <w:p>
      <w:pPr>
        <w:pStyle w:val="Heading1"/>
      </w:pPr>
      <w:r>
        <w:t>7. Future work</w:t>
      </w:r>
    </w:p>
    <w:p>
      <w:pPr>
        <w:pStyle w:val="ListBullet"/>
      </w:pPr>
      <w:r>
        <w:t>Per-asset or grouped time-series cross-validation.</w:t>
      </w:r>
    </w:p>
    <w:p>
      <w:pPr>
        <w:pStyle w:val="ListBullet"/>
      </w:pPr>
      <w:r>
        <w:t>Hyperparameter search (grid or Bayesian) and optional regularization tuning.</w:t>
      </w:r>
    </w:p>
    <w:p>
      <w:pPr>
        <w:pStyle w:val="ListBullet"/>
      </w:pPr>
      <w:r>
        <w:t>Additional indicators or multi-horizon targets; comparison with naive GARCH-style baselines.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