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F4" w:rsidRPr="00CF0AAB" w:rsidRDefault="00CF0AAB" w:rsidP="00CF0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AAB">
        <w:rPr>
          <w:rFonts w:ascii="Times New Roman" w:hAnsi="Times New Roman" w:cs="Times New Roman"/>
          <w:b/>
          <w:sz w:val="28"/>
          <w:szCs w:val="28"/>
        </w:rPr>
        <w:t>Credit Analytics</w:t>
      </w:r>
    </w:p>
    <w:p w:rsidR="00CF0AAB" w:rsidRP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Sources: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Data Science in Banking: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Pr="00CF0AAB">
          <w:rPr>
            <w:rStyle w:val="Hyperlink"/>
            <w:rFonts w:ascii="Times New Roman" w:hAnsi="Times New Roman" w:cs="Times New Roman"/>
            <w:sz w:val="28"/>
            <w:szCs w:val="28"/>
          </w:rPr>
          <w:t>https://financetrain.com/applications-data-science-banking/</w:t>
        </w:r>
      </w:hyperlink>
    </w:p>
    <w:p w:rsidR="00690045" w:rsidRDefault="00690045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Applications and Use Cases:</w:t>
      </w:r>
    </w:p>
    <w:p w:rsidR="00690045" w:rsidRDefault="00690045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5" w:history="1">
        <w:r w:rsidRPr="00690045">
          <w:rPr>
            <w:rStyle w:val="Hyperlink"/>
            <w:rFonts w:ascii="Times New Roman" w:hAnsi="Times New Roman" w:cs="Times New Roman"/>
            <w:sz w:val="28"/>
            <w:szCs w:val="28"/>
          </w:rPr>
          <w:t>https://activewizards.com/blog/top-9-data-science-use-cases-in-banking/</w:t>
        </w:r>
      </w:hyperlink>
    </w:p>
    <w:p w:rsidR="00DC69E2" w:rsidRDefault="00DC69E2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Pr="00DC69E2">
          <w:rPr>
            <w:rStyle w:val="Hyperlink"/>
            <w:rFonts w:ascii="Times New Roman" w:hAnsi="Times New Roman" w:cs="Times New Roman"/>
            <w:sz w:val="28"/>
            <w:szCs w:val="28"/>
          </w:rPr>
          <w:t>https://data-flair.training/blogs/data-science-in-banking/</w:t>
        </w:r>
      </w:hyperlink>
    </w:p>
    <w:p w:rsidR="0022036A" w:rsidRDefault="0022036A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Case Studies:</w:t>
      </w:r>
    </w:p>
    <w:p w:rsidR="0022036A" w:rsidRDefault="0022036A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Pr="0022036A">
          <w:rPr>
            <w:rStyle w:val="Hyperlink"/>
            <w:rFonts w:ascii="Times New Roman" w:hAnsi="Times New Roman" w:cs="Times New Roman"/>
            <w:sz w:val="28"/>
            <w:szCs w:val="28"/>
          </w:rPr>
          <w:t>https://www2.deloitte.com/content/dam/Deloitte/global/Documents/Financial-Services/gx-be-aers-fsi-credit-scoring.pdf</w:t>
        </w:r>
      </w:hyperlink>
    </w:p>
    <w:p w:rsidR="0022036A" w:rsidRPr="00CF0AAB" w:rsidRDefault="0022036A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Pr="0022036A">
          <w:rPr>
            <w:rStyle w:val="Hyperlink"/>
            <w:rFonts w:ascii="Times New Roman" w:hAnsi="Times New Roman" w:cs="Times New Roman"/>
            <w:sz w:val="28"/>
            <w:szCs w:val="28"/>
          </w:rPr>
          <w:t>https://analyticsindiamag.com/using-data-for-hyper-personalisation-in-credit-card-offers-a-case-study/</w:t>
        </w:r>
      </w:hyperlink>
      <w:bookmarkStart w:id="0" w:name="_GoBack"/>
      <w:bookmarkEnd w:id="0"/>
    </w:p>
    <w:sectPr w:rsidR="0022036A" w:rsidRPr="00C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B"/>
    <w:rsid w:val="0022036A"/>
    <w:rsid w:val="003477F4"/>
    <w:rsid w:val="00690045"/>
    <w:rsid w:val="00BC6472"/>
    <w:rsid w:val="00CF0AAB"/>
    <w:rsid w:val="00DC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286"/>
  <w15:chartTrackingRefBased/>
  <w15:docId w15:val="{730C6E05-C134-46DC-840E-8032448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indiamag.com/using-data-for-hyper-personalisation-in-credit-card-offers-a-case-stud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2.deloitte.com/content/dam/Deloitte/global/Documents/Financial-Services/gx-be-aers-fsi-credit-scorin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-flair.training/blogs/data-science-in-banking/" TargetMode="External"/><Relationship Id="rId5" Type="http://schemas.openxmlformats.org/officeDocument/2006/relationships/hyperlink" Target="https://activewizards.com/blog/top-9-data-science-use-cases-in-bank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inancetrain.com/applications-data-science-bank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2021-05-17T06:34:00Z</dcterms:created>
  <dcterms:modified xsi:type="dcterms:W3CDTF">2021-05-17T09:53:00Z</dcterms:modified>
</cp:coreProperties>
</file>