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MINUTES OF MEETING</w:t>
      </w:r>
    </w:p>
    <w:p>
      <w:pPr>
        <w:pStyle w:val="Subtitle"/>
      </w:pPr>
      <w:r>
        <w:t>Sensor Intelligence &amp; Maintenance Planning</w:t>
      </w:r>
    </w:p>
    <w:p>
      <w:pPr>
        <w:spacing w:after="160"/>
      </w:pPr>
      <w:r>
        <w:rPr>
          <w:color w:val="596574"/>
          <w:sz w:val="19"/>
        </w:rPr>
        <w:t>Process monitoring | Machine health | Part life | Data trust | ROI</w:t>
      </w:r>
    </w:p>
    <w:tbl>
      <w:tblPr>
        <w:tblW w:type="auto" w:w="0"/>
        <w:jc w:val="center"/>
        <w:tblLayout w:type="fixed"/>
        <w:tblLook w:firstColumn="1" w:firstRow="1" w:lastColumn="0" w:lastRow="0" w:noHBand="0" w:noVBand="1" w:val="04A0"/>
        <w:tblBorders>
          <w:top w:val="single" w:sz="4" w:color="D4DCE3"/>
          <w:left w:val="single" w:sz="4" w:color="D4DCE3"/>
          <w:bottom w:val="single" w:sz="4" w:color="D4DCE3"/>
          <w:right w:val="single" w:sz="4" w:color="D4DCE3"/>
          <w:insideH w:val="single" w:sz="4" w:color="D4DCE3"/>
          <w:insideV w:val="single" w:sz="4" w:color="D4DCE3"/>
        </w:tblBorders>
      </w:tblPr>
      <w:tblGrid>
        <w:gridCol w:w="2333"/>
        <w:gridCol w:w="7502"/>
      </w:tblGrid>
      <w:tr>
        <w:trPr>
          <w:cantSplit/>
          <w:tblHeader w:val="true"/>
        </w:trPr>
        <w:tc>
          <w:tcPr>
            <w:tcW w:type="dxa" w:w="2333"/>
            <w:vAlign w:val="center"/>
            <w:tcMar>
              <w:top w:w="85" w:type="dxa"/>
              <w:bottom w:w="85" w:type="dxa"/>
              <w:left w:w="110" w:type="dxa"/>
              <w:right w:w="110" w:type="dxa"/>
            </w:tcMar>
            <w:shd w:fill="EEF2F5"/>
          </w:tcPr>
          <w:p>
            <w:pPr>
              <w:spacing w:after="0" w:before="0" w:line="245" w:lineRule="auto"/>
            </w:pPr>
            <w:r>
              <w:rPr>
                <w:b/>
                <w:color w:val="243142"/>
                <w:sz w:val="20"/>
              </w:rPr>
              <w:t>Meeting details</w:t>
            </w:r>
          </w:p>
        </w:tc>
        <w:tc>
          <w:tcPr>
            <w:tcW w:type="dxa" w:w="7502"/>
            <w:vAlign w:val="center"/>
            <w:tcMar>
              <w:top w:w="85" w:type="dxa"/>
              <w:bottom w:w="85" w:type="dxa"/>
              <w:left w:w="110" w:type="dxa"/>
              <w:right w:w="110" w:type="dxa"/>
            </w:tcMar>
            <w:shd w:fill="EEF2F5"/>
          </w:tcPr>
          <w:p>
            <w:pPr>
              <w:spacing w:after="0" w:before="0" w:line="245" w:lineRule="auto"/>
            </w:pPr>
            <w:r>
              <w:rPr>
                <w:b/>
                <w:color w:val="243142"/>
                <w:sz w:val="20"/>
              </w:rPr>
              <w:t>Record</w:t>
            </w:r>
          </w:p>
        </w:tc>
      </w:tr>
      <w:tr>
        <w:trPr>
          <w:cantSplit/>
        </w:trPr>
        <w:tc>
          <w:tcPr>
            <w:tcW w:type="dxa" w:w="2333"/>
            <w:vAlign w:val="center"/>
            <w:tcMar>
              <w:top w:w="85" w:type="dxa"/>
              <w:bottom w:w="85" w:type="dxa"/>
              <w:left w:w="110" w:type="dxa"/>
              <w:right w:w="110" w:type="dxa"/>
            </w:tcMar>
          </w:tcPr>
          <w:p>
            <w:pPr>
              <w:spacing w:after="0" w:before="0" w:line="245" w:lineRule="auto"/>
            </w:pPr>
            <w:r>
              <w:rPr>
                <w:b w:val="0"/>
                <w:color w:val="243142"/>
                <w:sz w:val="20"/>
              </w:rPr>
              <w:t>Date / time</w:t>
            </w:r>
          </w:p>
        </w:tc>
        <w:tc>
          <w:tcPr>
            <w:tcW w:type="dxa" w:w="7502"/>
            <w:vAlign w:val="center"/>
            <w:tcMar>
              <w:top w:w="85" w:type="dxa"/>
              <w:bottom w:w="85" w:type="dxa"/>
              <w:left w:w="110" w:type="dxa"/>
              <w:right w:w="110" w:type="dxa"/>
            </w:tcMar>
          </w:tcPr>
          <w:p>
            <w:pPr>
              <w:spacing w:after="0" w:before="0" w:line="245" w:lineRule="auto"/>
            </w:pPr>
            <w:r>
              <w:rPr>
                <w:b w:val="0"/>
                <w:color w:val="243142"/>
                <w:sz w:val="20"/>
              </w:rPr>
              <w:t>To be confirmed</w:t>
            </w:r>
          </w:p>
        </w:tc>
      </w:tr>
      <w:tr>
        <w:trPr>
          <w:cantSplit/>
        </w:trPr>
        <w:tc>
          <w:tcPr>
            <w:tcW w:type="dxa" w:w="2333"/>
            <w:vAlign w:val="center"/>
            <w:tcMar>
              <w:top w:w="85" w:type="dxa"/>
              <w:bottom w:w="85" w:type="dxa"/>
              <w:left w:w="110" w:type="dxa"/>
              <w:right w:w="110" w:type="dxa"/>
            </w:tcMar>
          </w:tcPr>
          <w:p>
            <w:pPr>
              <w:spacing w:after="0" w:before="0" w:line="245" w:lineRule="auto"/>
            </w:pPr>
            <w:r>
              <w:rPr>
                <w:b w:val="0"/>
                <w:color w:val="243142"/>
                <w:sz w:val="20"/>
              </w:rPr>
              <w:t>Participants / chair</w:t>
            </w:r>
          </w:p>
        </w:tc>
        <w:tc>
          <w:tcPr>
            <w:tcW w:type="dxa" w:w="7502"/>
            <w:vAlign w:val="center"/>
            <w:tcMar>
              <w:top w:w="85" w:type="dxa"/>
              <w:bottom w:w="85" w:type="dxa"/>
              <w:left w:w="110" w:type="dxa"/>
              <w:right w:w="110" w:type="dxa"/>
            </w:tcMar>
          </w:tcPr>
          <w:p>
            <w:pPr>
              <w:spacing w:after="0" w:before="0" w:line="245" w:lineRule="auto"/>
            </w:pPr>
            <w:r>
              <w:rPr>
                <w:b w:val="0"/>
                <w:color w:val="243142"/>
                <w:sz w:val="20"/>
              </w:rPr>
              <w:t>To be confirmed</w:t>
            </w:r>
          </w:p>
        </w:tc>
      </w:tr>
      <w:tr>
        <w:trPr>
          <w:cantSplit/>
        </w:trPr>
        <w:tc>
          <w:tcPr>
            <w:tcW w:type="dxa" w:w="2333"/>
            <w:vAlign w:val="center"/>
            <w:tcMar>
              <w:top w:w="85" w:type="dxa"/>
              <w:bottom w:w="85" w:type="dxa"/>
              <w:left w:w="110" w:type="dxa"/>
              <w:right w:w="110" w:type="dxa"/>
            </w:tcMar>
          </w:tcPr>
          <w:p>
            <w:pPr>
              <w:spacing w:after="0" w:before="0" w:line="245" w:lineRule="auto"/>
            </w:pPr>
            <w:r>
              <w:rPr>
                <w:b w:val="0"/>
                <w:color w:val="243142"/>
                <w:sz w:val="20"/>
              </w:rPr>
              <w:t>Status</w:t>
            </w:r>
          </w:p>
        </w:tc>
        <w:tc>
          <w:tcPr>
            <w:tcW w:type="dxa" w:w="7502"/>
            <w:vAlign w:val="center"/>
            <w:tcMar>
              <w:top w:w="85" w:type="dxa"/>
              <w:bottom w:w="85" w:type="dxa"/>
              <w:left w:w="110" w:type="dxa"/>
              <w:right w:w="110" w:type="dxa"/>
            </w:tcMar>
          </w:tcPr>
          <w:p>
            <w:pPr>
              <w:spacing w:after="0" w:before="0" w:line="245" w:lineRule="auto"/>
            </w:pPr>
            <w:r>
              <w:rPr>
                <w:b w:val="0"/>
                <w:color w:val="243142"/>
                <w:sz w:val="20"/>
              </w:rPr>
              <w:t>For review and confirmation</w:t>
            </w:r>
          </w:p>
        </w:tc>
      </w:tr>
    </w:tbl>
    <w:p>
      <w:pPr>
        <w:spacing w:after="40" w:line="84" w:lineRule="auto"/>
      </w:pPr>
      <w:r/>
    </w:p>
    <w:p>
      <w:pPr>
        <w:pStyle w:val="Heading1"/>
      </w:pPr>
      <w:r>
        <w:t>1. Meeting objective</w:t>
      </w:r>
    </w:p>
    <w:p>
      <w:r>
        <w:t>Define how the software should move beyond displaying sensor values to explain what is happening, why it may be happening, what it could affect, and what action should be considered. Connect these findings with part life, maintenance history, shutdown planning and measurable business value.</w:t>
      </w:r>
    </w:p>
    <w:p>
      <w:pPr>
        <w:pStyle w:val="Heading2"/>
      </w:pPr>
      <w:r>
        <w:t>1.1 Core monitoring-to-action framework</w:t>
      </w:r>
    </w:p>
    <w:p>
      <w:r>
        <w:rPr>
          <w:b/>
          <w:color w:val="253D55"/>
        </w:rPr>
        <w:t>Sensor readings  →  What is happening  →  Why it is happening</w:t>
        <w:br/>
        <w:t>→  What it may impact / what may go wrong  →  Suggested actions</w:t>
      </w:r>
    </w:p>
    <w:p>
      <w:r>
        <w:t>The explanation should consider both the effect of changing readings on process performance and equipment health, and whether a process change itself explains the readings. The output should support a decision, not stop at an anomaly or threshold notification.</w:t>
      </w:r>
    </w:p>
    <w:p>
      <w:pPr>
        <w:pStyle w:val="Heading2"/>
      </w:pPr>
      <w:r>
        <w:t>1.2 Requirements discussed</w:t>
      </w:r>
    </w:p>
    <w:p>
      <w:r>
        <w:t>The software should distinguish process-related changes, machine issues and sensor issues; track sensor trends; differentiate a genuine zero from a sensor-related zero; accept expected part life as an input; require thorough checks after the entered life is reached; and track recurring maintenance cycles.</w:t>
      </w:r>
    </w:p>
    <w:p>
      <w:r>
        <w:t>It should support survey and maintenance-data uploads with a way to judge their reliability, maintain shutdown schedules, recommend replacement within an appropriate number of days, and present ROI. The maintenance sequence discussed was orange, then yellow after inspection without replacement, then green after replacement.</w:t>
      </w:r>
    </w:p>
    <w:p>
      <w:pPr>
        <w:pStyle w:val="Heading2"/>
      </w:pPr>
      <w:r>
        <w:t>1.3 Decisions to complete</w:t>
      </w:r>
    </w:p>
    <w:p>
      <w:r>
        <w:t>Inspection acceptance criteria, data-trust rules, replacement-deadline logic, ROI methodology and action ownership require confirmation. Detailed controls below are presented as proposals for review, rather than approved implementation decisions.</w:t>
      </w:r>
    </w:p>
    <w:p>
      <w:r>
        <w:br w:type="page"/>
      </w:r>
    </w:p>
    <w:p>
      <w:pPr>
        <w:pStyle w:val="Heading1"/>
      </w:pPr>
      <w:r>
        <w:t>2. Sensor interpretation and issue identification</w:t>
      </w:r>
    </w:p>
    <w:p>
      <w:pPr>
        <w:pStyle w:val="Heading2"/>
      </w:pPr>
      <w:r>
        <w:t>2.1 What is happening, why, and what it affects</w:t>
      </w:r>
    </w:p>
    <w:p>
      <w:r>
        <w:rPr>
          <w:b/>
        </w:rPr>
        <w:t xml:space="preserve">Requirement discussed: </w:t>
      </w:r>
      <w:r>
        <w:t>Track changes in readings over time and explain their significance for the process and machine health. Consider whether the change reflects normal operation, an intentional process change, deterioration, or a measurement problem.</w:t>
      </w:r>
    </w:p>
    <w:p>
      <w:r>
        <w:rPr>
          <w:b/>
        </w:rPr>
        <w:t xml:space="preserve">Proposed detail: </w:t>
      </w:r>
      <w:r>
        <w:t>Compare readings with an appropriate operating baseline and available context, such as operating state, setpoints, load, material or recipe changes, and recent maintenance. Describe the observed change first; show likely causes separately from confirmed findings.</w:t>
      </w:r>
    </w:p>
    <w:p>
      <w:r>
        <w:t>For each finding, identify the affected process step or component, the possible effect on output or condition, and what could go wrong if the condition continues. State uncertainty when the available evidence cannot support a specific cause or consequence.</w:t>
      </w:r>
    </w:p>
    <w:p>
      <w:pPr>
        <w:pStyle w:val="Heading2"/>
      </w:pPr>
      <w:r>
        <w:t>2.2 Distinguish process, machine and sensor issues</w:t>
      </w:r>
    </w:p>
    <w:p>
      <w:r>
        <w:rPr>
          <w:b/>
        </w:rPr>
        <w:t xml:space="preserve">Requirement discussed: </w:t>
      </w:r>
      <w:r>
        <w:t>Use sensor trends and anomaly detection to help determine whether the problem is in the machine, the sensor, or the operating process.</w:t>
      </w:r>
    </w:p>
    <w:tbl>
      <w:tblPr>
        <w:tblW w:type="auto" w:w="0"/>
        <w:jc w:val="center"/>
        <w:tblLayout w:type="fixed"/>
        <w:tblLook w:firstColumn="1" w:firstRow="1" w:lastColumn="0" w:lastRow="0" w:noHBand="0" w:noVBand="1" w:val="04A0"/>
        <w:tblBorders>
          <w:top w:val="single" w:sz="4" w:color="D4DCE3"/>
          <w:left w:val="single" w:sz="4" w:color="D4DCE3"/>
          <w:bottom w:val="single" w:sz="4" w:color="D4DCE3"/>
          <w:right w:val="single" w:sz="4" w:color="D4DCE3"/>
          <w:insideH w:val="single" w:sz="4" w:color="D4DCE3"/>
          <w:insideV w:val="single" w:sz="4" w:color="D4DCE3"/>
        </w:tblBorders>
      </w:tblPr>
      <w:tblGrid>
        <w:gridCol w:w="2434"/>
        <w:gridCol w:w="7402"/>
      </w:tblGrid>
      <w:tr>
        <w:trPr>
          <w:cantSplit/>
          <w:tblHeader w:val="true"/>
        </w:trPr>
        <w:tc>
          <w:tcPr>
            <w:tcW w:type="dxa" w:w="2434"/>
            <w:vAlign w:val="center"/>
            <w:tcMar>
              <w:top w:w="85" w:type="dxa"/>
              <w:bottom w:w="85" w:type="dxa"/>
              <w:left w:w="110" w:type="dxa"/>
              <w:right w:w="110" w:type="dxa"/>
            </w:tcMar>
            <w:shd w:fill="EEF2F5"/>
          </w:tcPr>
          <w:p>
            <w:pPr>
              <w:spacing w:after="0" w:before="0" w:line="245" w:lineRule="auto"/>
            </w:pPr>
            <w:r>
              <w:rPr>
                <w:b/>
                <w:color w:val="243142"/>
                <w:sz w:val="20"/>
              </w:rPr>
              <w:t>Possible issue source</w:t>
            </w:r>
          </w:p>
        </w:tc>
        <w:tc>
          <w:tcPr>
            <w:tcW w:type="dxa" w:w="7402"/>
            <w:vAlign w:val="center"/>
            <w:tcMar>
              <w:top w:w="85" w:type="dxa"/>
              <w:bottom w:w="85" w:type="dxa"/>
              <w:left w:w="110" w:type="dxa"/>
              <w:right w:w="110" w:type="dxa"/>
            </w:tcMar>
            <w:shd w:fill="EEF2F5"/>
          </w:tcPr>
          <w:p>
            <w:pPr>
              <w:spacing w:after="0" w:before="0" w:line="245" w:lineRule="auto"/>
            </w:pPr>
            <w:r>
              <w:rPr>
                <w:b/>
                <w:color w:val="243142"/>
                <w:sz w:val="20"/>
              </w:rPr>
              <w:t>Proposed assessment</w:t>
            </w:r>
          </w:p>
        </w:tc>
      </w:tr>
      <w:tr>
        <w:trPr>
          <w:cantSplit/>
        </w:trPr>
        <w:tc>
          <w:tcPr>
            <w:tcW w:type="dxa" w:w="2434"/>
            <w:vAlign w:val="center"/>
            <w:tcMar>
              <w:top w:w="85" w:type="dxa"/>
              <w:bottom w:w="85" w:type="dxa"/>
              <w:left w:w="110" w:type="dxa"/>
              <w:right w:w="110" w:type="dxa"/>
            </w:tcMar>
          </w:tcPr>
          <w:p>
            <w:pPr>
              <w:spacing w:after="0" w:before="0" w:line="245" w:lineRule="auto"/>
            </w:pPr>
            <w:r>
              <w:rPr>
                <w:b w:val="0"/>
                <w:color w:val="243142"/>
                <w:sz w:val="20"/>
              </w:rPr>
              <w:t>Process-related change</w:t>
            </w:r>
          </w:p>
        </w:tc>
        <w:tc>
          <w:tcPr>
            <w:tcW w:type="dxa" w:w="7402"/>
            <w:vAlign w:val="center"/>
            <w:tcMar>
              <w:top w:w="85" w:type="dxa"/>
              <w:bottom w:w="85" w:type="dxa"/>
              <w:left w:w="110" w:type="dxa"/>
              <w:right w:w="110" w:type="dxa"/>
            </w:tcMar>
          </w:tcPr>
          <w:p>
            <w:pPr>
              <w:spacing w:after="0" w:before="0" w:line="245" w:lineRule="auto"/>
            </w:pPr>
            <w:r>
              <w:rPr>
                <w:b w:val="0"/>
                <w:color w:val="243142"/>
                <w:sz w:val="20"/>
              </w:rPr>
              <w:t>Check whether the timing and pattern align with a recorded change in operating conditions.</w:t>
            </w:r>
          </w:p>
        </w:tc>
      </w:tr>
      <w:tr>
        <w:trPr>
          <w:cantSplit/>
        </w:trPr>
        <w:tc>
          <w:tcPr>
            <w:tcW w:type="dxa" w:w="2434"/>
            <w:vAlign w:val="center"/>
            <w:tcMar>
              <w:top w:w="85" w:type="dxa"/>
              <w:bottom w:w="85" w:type="dxa"/>
              <w:left w:w="110" w:type="dxa"/>
              <w:right w:w="110" w:type="dxa"/>
            </w:tcMar>
          </w:tcPr>
          <w:p>
            <w:pPr>
              <w:spacing w:after="0" w:before="0" w:line="245" w:lineRule="auto"/>
            </w:pPr>
            <w:r>
              <w:rPr>
                <w:b w:val="0"/>
                <w:color w:val="243142"/>
                <w:sz w:val="20"/>
              </w:rPr>
              <w:t>Machine / component issue</w:t>
            </w:r>
          </w:p>
        </w:tc>
        <w:tc>
          <w:tcPr>
            <w:tcW w:type="dxa" w:w="7402"/>
            <w:vAlign w:val="center"/>
            <w:tcMar>
              <w:top w:w="85" w:type="dxa"/>
              <w:bottom w:w="85" w:type="dxa"/>
              <w:left w:w="110" w:type="dxa"/>
              <w:right w:w="110" w:type="dxa"/>
            </w:tcMar>
          </w:tcPr>
          <w:p>
            <w:pPr>
              <w:spacing w:after="0" w:before="0" w:line="245" w:lineRule="auto"/>
            </w:pPr>
            <w:r>
              <w:rPr>
                <w:b w:val="0"/>
                <w:color w:val="243142"/>
                <w:sz w:val="20"/>
              </w:rPr>
              <w:t>Review related readings, part condition and maintenance evidence before attributing the change to equipment.</w:t>
            </w:r>
          </w:p>
        </w:tc>
      </w:tr>
      <w:tr>
        <w:trPr>
          <w:cantSplit/>
        </w:trPr>
        <w:tc>
          <w:tcPr>
            <w:tcW w:type="dxa" w:w="2434"/>
            <w:vAlign w:val="center"/>
            <w:tcMar>
              <w:top w:w="85" w:type="dxa"/>
              <w:bottom w:w="85" w:type="dxa"/>
              <w:left w:w="110" w:type="dxa"/>
              <w:right w:w="110" w:type="dxa"/>
            </w:tcMar>
          </w:tcPr>
          <w:p>
            <w:pPr>
              <w:spacing w:after="0" w:before="0" w:line="245" w:lineRule="auto"/>
            </w:pPr>
            <w:r>
              <w:rPr>
                <w:b w:val="0"/>
                <w:color w:val="243142"/>
                <w:sz w:val="20"/>
              </w:rPr>
              <w:t>Sensor / data-path issue</w:t>
            </w:r>
          </w:p>
        </w:tc>
        <w:tc>
          <w:tcPr>
            <w:tcW w:type="dxa" w:w="7402"/>
            <w:vAlign w:val="center"/>
            <w:tcMar>
              <w:top w:w="85" w:type="dxa"/>
              <w:bottom w:w="85" w:type="dxa"/>
              <w:left w:w="110" w:type="dxa"/>
              <w:right w:w="110" w:type="dxa"/>
            </w:tcMar>
          </w:tcPr>
          <w:p>
            <w:pPr>
              <w:spacing w:after="0" w:before="0" w:line="245" w:lineRule="auto"/>
            </w:pPr>
            <w:r>
              <w:rPr>
                <w:b w:val="0"/>
                <w:color w:val="243142"/>
                <w:sz w:val="20"/>
              </w:rPr>
              <w:t>Review signal validity, freshness, diagnostic information and inconsistent readings before relying on the measurement.</w:t>
            </w:r>
          </w:p>
        </w:tc>
      </w:tr>
      <w:tr>
        <w:trPr>
          <w:cantSplit/>
        </w:trPr>
        <w:tc>
          <w:tcPr>
            <w:tcW w:type="dxa" w:w="2434"/>
            <w:vAlign w:val="center"/>
            <w:tcMar>
              <w:top w:w="85" w:type="dxa"/>
              <w:bottom w:w="85" w:type="dxa"/>
              <w:left w:w="110" w:type="dxa"/>
              <w:right w:w="110" w:type="dxa"/>
            </w:tcMar>
          </w:tcPr>
          <w:p>
            <w:pPr>
              <w:spacing w:after="0" w:before="0" w:line="245" w:lineRule="auto"/>
            </w:pPr>
            <w:r>
              <w:rPr>
                <w:b w:val="0"/>
                <w:color w:val="243142"/>
                <w:sz w:val="20"/>
              </w:rPr>
              <w:t>Mixed or insufficient evidence</w:t>
            </w:r>
          </w:p>
        </w:tc>
        <w:tc>
          <w:tcPr>
            <w:tcW w:type="dxa" w:w="7402"/>
            <w:vAlign w:val="center"/>
            <w:tcMar>
              <w:top w:w="85" w:type="dxa"/>
              <w:bottom w:w="85" w:type="dxa"/>
              <w:left w:w="110" w:type="dxa"/>
              <w:right w:w="110" w:type="dxa"/>
            </w:tcMar>
          </w:tcPr>
          <w:p>
            <w:pPr>
              <w:spacing w:after="0" w:before="0" w:line="245" w:lineRule="auto"/>
            </w:pPr>
            <w:r>
              <w:rPr>
                <w:b w:val="0"/>
                <w:color w:val="243142"/>
                <w:sz w:val="20"/>
              </w:rPr>
              <w:t>Keep multiple possibilities open and request verification instead of forcing a single diagnosis.</w:t>
            </w:r>
          </w:p>
        </w:tc>
      </w:tr>
    </w:tbl>
    <w:p>
      <w:pPr>
        <w:spacing w:after="40" w:line="84" w:lineRule="auto"/>
      </w:pPr>
      <w:r/>
    </w:p>
    <w:p>
      <w:pPr>
        <w:pStyle w:val="Heading2"/>
      </w:pPr>
      <w:r>
        <w:t>2.3 Differentiate a genuine zero from a faulty zero</w:t>
      </w:r>
    </w:p>
    <w:p>
      <w:r>
        <w:rPr>
          <w:b/>
        </w:rPr>
        <w:t xml:space="preserve">Requirement discussed: </w:t>
      </w:r>
      <w:r>
        <w:t>A zero value must not automatically be treated as either a machine failure or a sensor failure.</w:t>
      </w:r>
    </w:p>
    <w:p>
      <w:r>
        <w:rPr>
          <w:b/>
        </w:rPr>
        <w:t xml:space="preserve">Proposed detail: </w:t>
      </w:r>
      <w:r>
        <w:t>Assess whether zero is plausible for the measured variable in the current operating state. Check the last update time, available sensor diagnostics, nearby readings, recent signal behavior, and whether the sensor remains responsive. A stopped machine alone should not validate every zero measurement.</w:t>
      </w:r>
    </w:p>
    <w:p>
      <w:r>
        <w:t>Keep these outcomes distinct: valid zero; suspected sensor or measurement-path issue; missing or stale data; and unable to determine. Do not substitute missing data with zero. Where unresolved, recommend a suitable verification check rather than a confident equipment diagnosis.</w:t>
      </w:r>
    </w:p>
    <w:p>
      <w:pPr>
        <w:pStyle w:val="Heading2"/>
      </w:pPr>
      <w:r>
        <w:t>2.4 Suggested actions</w:t>
      </w:r>
    </w:p>
    <w:p>
      <w:r>
        <w:t>Recommendations should address the likely source: verify the measurement, inspect the affected component, review a process change, plan maintenance, or consider replacement. Each should include its reason, urgency, supporting evidence and a verification step. Changes to operating settings should remain subject to approved procedures and authorized review.</w:t>
      </w:r>
    </w:p>
    <w:p>
      <w:r>
        <w:br w:type="page"/>
      </w:r>
    </w:p>
    <w:p>
      <w:pPr>
        <w:pStyle w:val="Heading1"/>
      </w:pPr>
      <w:r>
        <w:t>3. Part life and maintenance lifecycle</w:t>
      </w:r>
    </w:p>
    <w:p>
      <w:pPr>
        <w:pStyle w:val="Heading2"/>
      </w:pPr>
      <w:r>
        <w:t>3.1 Expected life as an input</w:t>
      </w:r>
    </w:p>
    <w:p>
      <w:r>
        <w:rPr>
          <w:b/>
        </w:rPr>
        <w:t xml:space="preserve">Requirement discussed: </w:t>
      </w:r>
      <w:r>
        <w:t>Capture the expected life of each applicable part, especially wear parts with a defined service interval or life expectation. When the entered life is reached, require a thorough inspection rather than allowing the milestone to pass without review.</w:t>
      </w:r>
    </w:p>
    <w:p>
      <w:r>
        <w:rPr>
          <w:b/>
        </w:rPr>
        <w:t xml:space="preserve">Proposed detail: </w:t>
      </w:r>
      <w:r>
        <w:t>The part record should include machine and component identifiers, installation or last-replacement date, expected-life value and unit, life-reference source, and accumulated usage. Units may be calendar time, operating hours or cycles, as appropriate to the part.</w:t>
      </w:r>
    </w:p>
    <w:p>
      <w:r>
        <w:t>Display the due milestone and whether the supporting life and usage inputs are verified. Where usage history is incomplete, show that limitation rather than presenting an exact remaining-life figure. An entered service-life limit is not, by itself, a predicted failure date.</w:t>
      </w:r>
    </w:p>
    <w:p>
      <w:pPr>
        <w:pStyle w:val="Heading2"/>
      </w:pPr>
      <w:r>
        <w:t>3.2 Inspection and replacement status</w:t>
      </w:r>
    </w:p>
    <w:p>
      <w:r>
        <w:t>The following color sequence was discussed. The detailed transition controls are proposed for review.</w:t>
      </w:r>
    </w:p>
    <w:tbl>
      <w:tblPr>
        <w:tblW w:type="auto" w:w="0"/>
        <w:jc w:val="center"/>
        <w:tblLayout w:type="fixed"/>
        <w:tblLook w:firstColumn="1" w:firstRow="1" w:lastColumn="0" w:lastRow="0" w:noHBand="0" w:noVBand="1" w:val="04A0"/>
        <w:tblBorders>
          <w:top w:val="single" w:sz="4" w:color="D4DCE3"/>
          <w:left w:val="single" w:sz="4" w:color="D4DCE3"/>
          <w:bottom w:val="single" w:sz="4" w:color="D4DCE3"/>
          <w:right w:val="single" w:sz="4" w:color="D4DCE3"/>
          <w:insideH w:val="single" w:sz="4" w:color="D4DCE3"/>
          <w:insideV w:val="single" w:sz="4" w:color="D4DCE3"/>
        </w:tblBorders>
      </w:tblPr>
      <w:tblGrid>
        <w:gridCol w:w="1195"/>
        <w:gridCol w:w="3600"/>
        <w:gridCol w:w="5040"/>
      </w:tblGrid>
      <w:tr>
        <w:trPr>
          <w:cantSplit/>
          <w:tblHeader w:val="true"/>
        </w:trPr>
        <w:tc>
          <w:tcPr>
            <w:tcW w:type="dxa" w:w="1195"/>
            <w:vAlign w:val="center"/>
            <w:tcMar>
              <w:top w:w="85" w:type="dxa"/>
              <w:bottom w:w="85" w:type="dxa"/>
              <w:left w:w="110" w:type="dxa"/>
              <w:right w:w="110" w:type="dxa"/>
            </w:tcMar>
            <w:shd w:fill="EEF2F5"/>
          </w:tcPr>
          <w:p>
            <w:pPr>
              <w:spacing w:after="0" w:before="0" w:line="245" w:lineRule="auto"/>
            </w:pPr>
            <w:r>
              <w:rPr>
                <w:b/>
                <w:color w:val="243142"/>
                <w:sz w:val="20"/>
              </w:rPr>
              <w:t>Status</w:t>
            </w:r>
          </w:p>
        </w:tc>
        <w:tc>
          <w:tcPr>
            <w:tcW w:type="dxa" w:w="3600"/>
            <w:vAlign w:val="center"/>
            <w:tcMar>
              <w:top w:w="85" w:type="dxa"/>
              <w:bottom w:w="85" w:type="dxa"/>
              <w:left w:w="110" w:type="dxa"/>
              <w:right w:w="110" w:type="dxa"/>
            </w:tcMar>
            <w:shd w:fill="EEF2F5"/>
          </w:tcPr>
          <w:p>
            <w:pPr>
              <w:spacing w:after="0" w:before="0" w:line="245" w:lineRule="auto"/>
            </w:pPr>
            <w:r>
              <w:rPr>
                <w:b/>
                <w:color w:val="243142"/>
                <w:sz w:val="20"/>
              </w:rPr>
              <w:t>Meaning</w:t>
            </w:r>
          </w:p>
        </w:tc>
        <w:tc>
          <w:tcPr>
            <w:tcW w:type="dxa" w:w="5040"/>
            <w:vAlign w:val="center"/>
            <w:tcMar>
              <w:top w:w="85" w:type="dxa"/>
              <w:bottom w:w="85" w:type="dxa"/>
              <w:left w:w="110" w:type="dxa"/>
              <w:right w:w="110" w:type="dxa"/>
            </w:tcMar>
            <w:shd w:fill="EEF2F5"/>
          </w:tcPr>
          <w:p>
            <w:pPr>
              <w:spacing w:after="0" w:before="0" w:line="245" w:lineRule="auto"/>
            </w:pPr>
            <w:r>
              <w:rPr>
                <w:b/>
                <w:color w:val="243142"/>
                <w:sz w:val="20"/>
              </w:rPr>
              <w:t>Proposed control</w:t>
            </w:r>
          </w:p>
        </w:tc>
      </w:tr>
      <w:tr>
        <w:trPr>
          <w:cantSplit/>
        </w:trPr>
        <w:tc>
          <w:tcPr>
            <w:tcW w:type="dxa" w:w="1195"/>
            <w:vAlign w:val="center"/>
            <w:tcMar>
              <w:top w:w="85" w:type="dxa"/>
              <w:bottom w:w="85" w:type="dxa"/>
              <w:left w:w="110" w:type="dxa"/>
              <w:right w:w="110" w:type="dxa"/>
            </w:tcMar>
            <w:shd w:fill="FFF0DC"/>
          </w:tcPr>
          <w:p>
            <w:pPr>
              <w:spacing w:after="0" w:before="0" w:line="245" w:lineRule="auto"/>
            </w:pPr>
            <w:r>
              <w:rPr>
                <w:b w:val="0"/>
                <w:color w:val="243142"/>
                <w:sz w:val="20"/>
              </w:rPr>
              <w:t>ORANGE</w:t>
            </w:r>
          </w:p>
        </w:tc>
        <w:tc>
          <w:tcPr>
            <w:tcW w:type="dxa" w:w="3600"/>
            <w:vAlign w:val="center"/>
            <w:tcMar>
              <w:top w:w="85" w:type="dxa"/>
              <w:bottom w:w="85" w:type="dxa"/>
              <w:left w:w="110" w:type="dxa"/>
              <w:right w:w="110" w:type="dxa"/>
            </w:tcMar>
          </w:tcPr>
          <w:p>
            <w:pPr>
              <w:spacing w:after="0" w:before="0" w:line="245" w:lineRule="auto"/>
            </w:pPr>
            <w:r>
              <w:rPr>
                <w:b w:val="0"/>
                <w:color w:val="243142"/>
                <w:sz w:val="20"/>
              </w:rPr>
              <w:t>Entered lifespan reached; thorough inspection required.</w:t>
            </w:r>
          </w:p>
        </w:tc>
        <w:tc>
          <w:tcPr>
            <w:tcW w:type="dxa" w:w="5040"/>
            <w:vAlign w:val="center"/>
            <w:tcMar>
              <w:top w:w="85" w:type="dxa"/>
              <w:bottom w:w="85" w:type="dxa"/>
              <w:left w:w="110" w:type="dxa"/>
              <w:right w:w="110" w:type="dxa"/>
            </w:tcMar>
          </w:tcPr>
          <w:p>
            <w:pPr>
              <w:spacing w:after="0" w:before="0" w:line="245" w:lineRule="auto"/>
            </w:pPr>
            <w:r>
              <w:rPr>
                <w:b w:val="0"/>
                <w:color w:val="243142"/>
                <w:sz w:val="20"/>
              </w:rPr>
              <w:t>Record the due inspection and keep the review open until an authorized inspection is documented.</w:t>
            </w:r>
          </w:p>
        </w:tc>
      </w:tr>
      <w:tr>
        <w:trPr>
          <w:cantSplit/>
        </w:trPr>
        <w:tc>
          <w:tcPr>
            <w:tcW w:type="dxa" w:w="1195"/>
            <w:vAlign w:val="center"/>
            <w:tcMar>
              <w:top w:w="85" w:type="dxa"/>
              <w:bottom w:w="85" w:type="dxa"/>
              <w:left w:w="110" w:type="dxa"/>
              <w:right w:w="110" w:type="dxa"/>
            </w:tcMar>
            <w:shd w:fill="FFF8D5"/>
          </w:tcPr>
          <w:p>
            <w:pPr>
              <w:spacing w:after="0" w:before="0" w:line="245" w:lineRule="auto"/>
            </w:pPr>
            <w:r>
              <w:rPr>
                <w:b w:val="0"/>
                <w:color w:val="243142"/>
                <w:sz w:val="20"/>
              </w:rPr>
              <w:t>YELLOW</w:t>
            </w:r>
          </w:p>
        </w:tc>
        <w:tc>
          <w:tcPr>
            <w:tcW w:type="dxa" w:w="3600"/>
            <w:vAlign w:val="center"/>
            <w:tcMar>
              <w:top w:w="85" w:type="dxa"/>
              <w:bottom w:w="85" w:type="dxa"/>
              <w:left w:w="110" w:type="dxa"/>
              <w:right w:w="110" w:type="dxa"/>
            </w:tcMar>
          </w:tcPr>
          <w:p>
            <w:pPr>
              <w:spacing w:after="0" w:before="0" w:line="245" w:lineRule="auto"/>
            </w:pPr>
            <w:r>
              <w:rPr>
                <w:b w:val="0"/>
                <w:color w:val="243142"/>
                <w:sz w:val="20"/>
              </w:rPr>
              <w:t>Inspection completed; part not replaced.</w:t>
            </w:r>
          </w:p>
        </w:tc>
        <w:tc>
          <w:tcPr>
            <w:tcW w:type="dxa" w:w="5040"/>
            <w:vAlign w:val="center"/>
            <w:tcMar>
              <w:top w:w="85" w:type="dxa"/>
              <w:bottom w:w="85" w:type="dxa"/>
              <w:left w:w="110" w:type="dxa"/>
              <w:right w:w="110" w:type="dxa"/>
            </w:tcMar>
          </w:tcPr>
          <w:p>
            <w:pPr>
              <w:spacing w:after="0" w:before="0" w:line="245" w:lineRule="auto"/>
            </w:pPr>
            <w:r>
              <w:rPr>
                <w:b w:val="0"/>
                <w:color w:val="243142"/>
                <w:sz w:val="20"/>
              </w:rPr>
              <w:t>Record findings, the reason for retaining the part, approval for continued use, and the next review or replacement deadline.</w:t>
            </w:r>
          </w:p>
        </w:tc>
      </w:tr>
      <w:tr>
        <w:trPr>
          <w:cantSplit/>
        </w:trPr>
        <w:tc>
          <w:tcPr>
            <w:tcW w:type="dxa" w:w="1195"/>
            <w:vAlign w:val="center"/>
            <w:tcMar>
              <w:top w:w="85" w:type="dxa"/>
              <w:bottom w:w="85" w:type="dxa"/>
              <w:left w:w="110" w:type="dxa"/>
              <w:right w:w="110" w:type="dxa"/>
            </w:tcMar>
            <w:shd w:fill="E9F3EA"/>
          </w:tcPr>
          <w:p>
            <w:pPr>
              <w:spacing w:after="0" w:before="0" w:line="245" w:lineRule="auto"/>
            </w:pPr>
            <w:r>
              <w:rPr>
                <w:b w:val="0"/>
                <w:color w:val="243142"/>
                <w:sz w:val="20"/>
              </w:rPr>
              <w:t>GREEN</w:t>
            </w:r>
          </w:p>
        </w:tc>
        <w:tc>
          <w:tcPr>
            <w:tcW w:type="dxa" w:w="3600"/>
            <w:vAlign w:val="center"/>
            <w:tcMar>
              <w:top w:w="85" w:type="dxa"/>
              <w:bottom w:w="85" w:type="dxa"/>
              <w:left w:w="110" w:type="dxa"/>
              <w:right w:w="110" w:type="dxa"/>
            </w:tcMar>
          </w:tcPr>
          <w:p>
            <w:pPr>
              <w:spacing w:after="0" w:before="0" w:line="245" w:lineRule="auto"/>
            </w:pPr>
            <w:r>
              <w:rPr>
                <w:b w:val="0"/>
                <w:color w:val="243142"/>
                <w:sz w:val="20"/>
              </w:rPr>
              <w:t>Part replaced.</w:t>
            </w:r>
          </w:p>
        </w:tc>
        <w:tc>
          <w:tcPr>
            <w:tcW w:type="dxa" w:w="5040"/>
            <w:vAlign w:val="center"/>
            <w:tcMar>
              <w:top w:w="85" w:type="dxa"/>
              <w:bottom w:w="85" w:type="dxa"/>
              <w:left w:w="110" w:type="dxa"/>
              <w:right w:w="110" w:type="dxa"/>
            </w:tcMar>
          </w:tcPr>
          <w:p>
            <w:pPr>
              <w:spacing w:after="0" w:before="0" w:line="245" w:lineRule="auto"/>
            </w:pPr>
            <w:r>
              <w:rPr>
                <w:b w:val="0"/>
                <w:color w:val="243142"/>
                <w:sz w:val="20"/>
              </w:rPr>
              <w:t>Record the replacement date, new part identity and new life cycle; confirm completion and required post-maintenance checks.</w:t>
            </w:r>
          </w:p>
        </w:tc>
      </w:tr>
    </w:tbl>
    <w:p>
      <w:pPr>
        <w:spacing w:after="40" w:line="84" w:lineRule="auto"/>
      </w:pPr>
      <w:r/>
    </w:p>
    <w:p>
      <w:r>
        <w:t>Proposed safeguard: inspection alone must not reset accumulated part life. A yellow status should require an acceptable inspection outcome, not merely an uploaded inspection record. The maintenance color should not override an active fault or be presented as proof of safe machine operation.</w:t>
      </w:r>
    </w:p>
    <w:p>
      <w:pPr>
        <w:pStyle w:val="Heading2"/>
      </w:pPr>
      <w:r>
        <w:t>3.3 Maintenance-cycle tracking</w:t>
      </w:r>
    </w:p>
    <w:p>
      <w:r>
        <w:rPr>
          <w:b/>
        </w:rPr>
        <w:t xml:space="preserve">Requirement discussed: </w:t>
      </w:r>
      <w:r>
        <w:t>Track recurring maintenance activities and the relationship between planned work, inspections, replacement and completion.</w:t>
      </w:r>
    </w:p>
    <w:p>
      <w:r>
        <w:rPr>
          <w:b/>
        </w:rPr>
        <w:t xml:space="preserve">Proposed detail: </w:t>
      </w:r>
      <w:r>
        <w:t>For each activity, retain the interval basis, last completed date or usage reading, next due point, work performed, observations and replaced parts. Show due and overdue work separately from completed work, and preserve the history when a new cycle starts.</w:t>
      </w:r>
    </w:p>
    <w:p>
      <w:r>
        <w:t>Record inspection, repair and replacement as different event types. A replacement starts a new life record for that specific part; it should not reset the history or age of unrelated components. Any extension after inspection should retain the original life milestone and the approval record.</w:t>
      </w:r>
    </w:p>
    <w:p>
      <w:r>
        <w:br w:type="page"/>
      </w:r>
    </w:p>
    <w:p>
      <w:pPr>
        <w:pStyle w:val="Heading1"/>
      </w:pPr>
      <w:r>
        <w:t>4. Data trust, shutdowns and replacement planning</w:t>
      </w:r>
    </w:p>
    <w:p>
      <w:pPr>
        <w:pStyle w:val="Heading2"/>
      </w:pPr>
      <w:r>
        <w:t>4.1 Survey and maintenance-data uploads</w:t>
      </w:r>
    </w:p>
    <w:p>
      <w:r>
        <w:rPr>
          <w:b/>
        </w:rPr>
        <w:t xml:space="preserve">Requirement discussed: </w:t>
      </w:r>
      <w:r>
        <w:t>Allow survey and maintenance information to be uploaded, while addressing how much the software should trust this information.</w:t>
      </w:r>
    </w:p>
    <w:p>
      <w:r>
        <w:rPr>
          <w:b/>
        </w:rPr>
        <w:t xml:space="preserve">Proposed detail: </w:t>
      </w:r>
      <w:r>
        <w:t>Capture the associated machine or part, source, uploader, date of the actual activity, upload date, recorded observations, and available supporting evidence. Keep the activity date distinct from the upload date so an old inspection is not presented as recent.</w:t>
      </w:r>
    </w:p>
    <w:p>
      <w:r>
        <w:t>Review completeness, freshness, internal consistency, traceability and agreement with other available records. A proposed review state is unverified, under review, verified, or disputed. The exact review criteria and approving roles remain open.</w:t>
      </w:r>
    </w:p>
    <w:p>
      <w:r>
        <w:t>Flag contradictions, such as an uploaded replacement record that conflicts with the component history. Do not silently treat an upload as verified truth or let it erase a live abnormal condition. Where an explanation relies on incomplete or unverified records, show that dependency and reduce the certainty of the conclusion.</w:t>
      </w:r>
    </w:p>
    <w:p>
      <w:pPr>
        <w:pStyle w:val="Heading2"/>
      </w:pPr>
      <w:r>
        <w:t>4.2 Shutdown schedule in the software</w:t>
      </w:r>
    </w:p>
    <w:p>
      <w:r>
        <w:rPr>
          <w:b/>
        </w:rPr>
        <w:t xml:space="preserve">Requirement discussed: </w:t>
      </w:r>
      <w:r>
        <w:t>Maintain the shutdown schedule and use it to support maintenance and replacement planning.</w:t>
      </w:r>
    </w:p>
    <w:p>
      <w:r>
        <w:rPr>
          <w:b/>
        </w:rPr>
        <w:t xml:space="preserve">Proposed detail: </w:t>
      </w:r>
      <w:r>
        <w:t>Record the affected plant, line or machine; planned start and end; available work duration; and the inspections or replacements intended for that shutdown. Keep planned, rescheduled and completed shutdowns distinguishable.</w:t>
      </w:r>
    </w:p>
    <w:p>
      <w:r>
        <w:t>Match recommended work with a suitable shutdown only when that window meets the required action deadline and work constraints. A planned shutdown should not automatically defer a more urgent inspection or replacement.</w:t>
      </w:r>
    </w:p>
    <w:p>
      <w:pPr>
        <w:pStyle w:val="Heading2"/>
      </w:pPr>
      <w:r>
        <w:t>4.3 Replacement within a defined number of days</w:t>
      </w:r>
    </w:p>
    <w:p>
      <w:r>
        <w:rPr>
          <w:b/>
        </w:rPr>
        <w:t xml:space="preserve">Requirement discussed: </w:t>
      </w:r>
      <w:r>
        <w:t>The software should give a practical replacement suggestion, such as replacement within a specified number of days, rather than only indicating that attention is needed.</w:t>
      </w:r>
    </w:p>
    <w:p>
      <w:r>
        <w:rPr>
          <w:b/>
        </w:rPr>
        <w:t xml:space="preserve">Proposed detail: </w:t>
      </w:r>
      <w:r>
        <w:t>Base the deadline on available condition evidence, entered part life, inspection findings, criticality and approved maintenance rules. Explain why the deadline was selected and whether the next shutdown falls within it. Do not invent an exact number of days where the evidence does not justify one.</w:t>
      </w:r>
    </w:p>
    <w:p>
      <w:r>
        <w:t>A recommendation should identify the part, required action, due date or window, reason, suggested shutdown and any unresolved evidence. Where the next shutdown is too late, flag the conflict for an authorized maintenance decision. Where timing cannot be justified, require an inspection or engineering review instead.</w:t>
      </w:r>
    </w:p>
    <w:p>
      <w:pPr>
        <w:pStyle w:val="Heading2"/>
      </w:pPr>
      <w:r>
        <w:t>4.4 Verification after action</w:t>
      </w:r>
    </w:p>
    <w:p>
      <w:r>
        <w:t>Proposed detail: close a recommendation only after the relevant completion evidence and follow-up checks are recorded. Preserve the link between the original finding, the action taken and the resulting condition so the maintenance history remains auditable.</w:t>
      </w:r>
    </w:p>
    <w:p>
      <w:r>
        <w:br w:type="page"/>
      </w:r>
    </w:p>
    <w:p>
      <w:pPr>
        <w:pStyle w:val="Heading1"/>
      </w:pPr>
      <w:r>
        <w:t>5. Business value and expected software outputs</w:t>
      </w:r>
    </w:p>
    <w:p>
      <w:pPr>
        <w:pStyle w:val="Heading2"/>
      </w:pPr>
      <w:r>
        <w:t>5.1 ROI</w:t>
      </w:r>
    </w:p>
    <w:p>
      <w:r>
        <w:rPr>
          <w:b/>
        </w:rPr>
        <w:t xml:space="preserve">Requirement discussed: </w:t>
      </w:r>
      <w:r>
        <w:t>Include ROI so management can understand the business value of monitoring, suggested actions and maintenance interventions.</w:t>
      </w:r>
    </w:p>
    <w:p>
      <w:r>
        <w:rPr>
          <w:b/>
        </w:rPr>
        <w:t xml:space="preserve">Proposed detail: </w:t>
      </w:r>
      <w:r>
        <w:t>Define a common reporting period, baseline and cost boundary before reporting ROI. Candidate benefits for review include reduced unplanned downtime, lower quality losses, avoided secondary damage, and more effective maintenance spending. Count a benefit only when a defensible measurement or stated estimate is available.</w:t>
      </w:r>
    </w:p>
    <w:p>
      <w:pPr>
        <w:spacing w:after="60"/>
      </w:pPr>
      <w:r>
        <w:t>A proposed period-level measure is:</w:t>
      </w:r>
    </w:p>
    <w:p>
      <w:r>
        <w:rPr>
          <w:b/>
        </w:rPr>
        <w:t>ROI (%) = [(Attributed benefits - Included costs) / Included costs] x 100</w:t>
      </w:r>
    </w:p>
    <w:p>
      <w:r>
        <w:t>Included costs should cover the agreed monitoring and incremental intervention costs without double-counting costs already deducted from benefits. Calculate the ratio only when the cost denominator is positive. Finance should approve the baseline, attribution rules and cost categories.</w:t>
      </w:r>
    </w:p>
    <w:p>
      <w:r>
        <w:t>Keep estimated or potential benefits separate from measured outcomes and validated savings. Predicted avoided downtime should not be presented as realized savings merely because an alert was raised. Record the assumptions and evidence behind any claimed improvement.</w:t>
      </w:r>
    </w:p>
    <w:p>
      <w:pPr>
        <w:pStyle w:val="Heading2"/>
      </w:pPr>
      <w:r>
        <w:t>5.2 Standard finding and recommendation record</w:t>
      </w:r>
    </w:p>
    <w:p>
      <w:r>
        <w:t>Proposed output structure for each actionable finding:</w:t>
      </w:r>
    </w:p>
    <w:tbl>
      <w:tblPr>
        <w:tblW w:type="auto" w:w="0"/>
        <w:jc w:val="center"/>
        <w:tblLayout w:type="fixed"/>
        <w:tblLook w:firstColumn="1" w:firstRow="1" w:lastColumn="0" w:lastRow="0" w:noHBand="0" w:noVBand="1" w:val="04A0"/>
        <w:tblBorders>
          <w:top w:val="single" w:sz="4" w:color="D4DCE3"/>
          <w:left w:val="single" w:sz="4" w:color="D4DCE3"/>
          <w:bottom w:val="single" w:sz="4" w:color="D4DCE3"/>
          <w:right w:val="single" w:sz="4" w:color="D4DCE3"/>
          <w:insideH w:val="single" w:sz="4" w:color="D4DCE3"/>
          <w:insideV w:val="single" w:sz="4" w:color="D4DCE3"/>
        </w:tblBorders>
      </w:tblPr>
      <w:tblGrid>
        <w:gridCol w:w="2333"/>
        <w:gridCol w:w="7502"/>
      </w:tblGrid>
      <w:tr>
        <w:trPr>
          <w:cantSplit/>
          <w:tblHeader w:val="true"/>
        </w:trPr>
        <w:tc>
          <w:tcPr>
            <w:tcW w:type="dxa" w:w="2333"/>
            <w:vAlign w:val="center"/>
            <w:tcMar>
              <w:top w:w="85" w:type="dxa"/>
              <w:bottom w:w="85" w:type="dxa"/>
              <w:left w:w="110" w:type="dxa"/>
              <w:right w:w="110" w:type="dxa"/>
            </w:tcMar>
            <w:shd w:fill="EEF2F5"/>
          </w:tcPr>
          <w:p>
            <w:pPr>
              <w:spacing w:after="0" w:before="0" w:line="245" w:lineRule="auto"/>
            </w:pPr>
            <w:r>
              <w:rPr>
                <w:b/>
                <w:color w:val="243142"/>
                <w:sz w:val="20"/>
              </w:rPr>
              <w:t>Field</w:t>
            </w:r>
          </w:p>
        </w:tc>
        <w:tc>
          <w:tcPr>
            <w:tcW w:type="dxa" w:w="7502"/>
            <w:vAlign w:val="center"/>
            <w:tcMar>
              <w:top w:w="85" w:type="dxa"/>
              <w:bottom w:w="85" w:type="dxa"/>
              <w:left w:w="110" w:type="dxa"/>
              <w:right w:w="110" w:type="dxa"/>
            </w:tcMar>
            <w:shd w:fill="EEF2F5"/>
          </w:tcPr>
          <w:p>
            <w:pPr>
              <w:spacing w:after="0" w:before="0" w:line="245" w:lineRule="auto"/>
            </w:pPr>
            <w:r>
              <w:rPr>
                <w:b/>
                <w:color w:val="243142"/>
                <w:sz w:val="20"/>
              </w:rPr>
              <w:t>Information to show</w:t>
            </w:r>
          </w:p>
        </w:tc>
      </w:tr>
      <w:tr>
        <w:trPr>
          <w:cantSplit/>
        </w:trPr>
        <w:tc>
          <w:tcPr>
            <w:tcW w:type="dxa" w:w="2333"/>
            <w:vAlign w:val="center"/>
            <w:tcMar>
              <w:top w:w="85" w:type="dxa"/>
              <w:bottom w:w="85" w:type="dxa"/>
              <w:left w:w="110" w:type="dxa"/>
              <w:right w:w="110" w:type="dxa"/>
            </w:tcMar>
          </w:tcPr>
          <w:p>
            <w:pPr>
              <w:spacing w:after="0" w:before="0" w:line="245" w:lineRule="auto"/>
            </w:pPr>
            <w:r>
              <w:rPr>
                <w:b w:val="0"/>
                <w:color w:val="243142"/>
                <w:sz w:val="20"/>
              </w:rPr>
              <w:t>What is happening</w:t>
            </w:r>
          </w:p>
        </w:tc>
        <w:tc>
          <w:tcPr>
            <w:tcW w:type="dxa" w:w="7502"/>
            <w:vAlign w:val="center"/>
            <w:tcMar>
              <w:top w:w="85" w:type="dxa"/>
              <w:bottom w:w="85" w:type="dxa"/>
              <w:left w:w="110" w:type="dxa"/>
              <w:right w:w="110" w:type="dxa"/>
            </w:tcMar>
          </w:tcPr>
          <w:p>
            <w:pPr>
              <w:spacing w:after="0" w:before="0" w:line="245" w:lineRule="auto"/>
            </w:pPr>
            <w:r>
              <w:rPr>
                <w:b w:val="0"/>
                <w:color w:val="243142"/>
                <w:sz w:val="20"/>
              </w:rPr>
              <w:t>Affected sensor, machine or component; observed change; trend; event time and operating context.</w:t>
            </w:r>
          </w:p>
        </w:tc>
      </w:tr>
      <w:tr>
        <w:trPr>
          <w:cantSplit/>
        </w:trPr>
        <w:tc>
          <w:tcPr>
            <w:tcW w:type="dxa" w:w="2333"/>
            <w:vAlign w:val="center"/>
            <w:tcMar>
              <w:top w:w="85" w:type="dxa"/>
              <w:bottom w:w="85" w:type="dxa"/>
              <w:left w:w="110" w:type="dxa"/>
              <w:right w:w="110" w:type="dxa"/>
            </w:tcMar>
          </w:tcPr>
          <w:p>
            <w:pPr>
              <w:spacing w:after="0" w:before="0" w:line="245" w:lineRule="auto"/>
            </w:pPr>
            <w:r>
              <w:rPr>
                <w:b w:val="0"/>
                <w:color w:val="243142"/>
                <w:sz w:val="20"/>
              </w:rPr>
              <w:t>Why it may be happening</w:t>
            </w:r>
          </w:p>
        </w:tc>
        <w:tc>
          <w:tcPr>
            <w:tcW w:type="dxa" w:w="7502"/>
            <w:vAlign w:val="center"/>
            <w:tcMar>
              <w:top w:w="85" w:type="dxa"/>
              <w:bottom w:w="85" w:type="dxa"/>
              <w:left w:w="110" w:type="dxa"/>
              <w:right w:w="110" w:type="dxa"/>
            </w:tcMar>
          </w:tcPr>
          <w:p>
            <w:pPr>
              <w:spacing w:after="0" w:before="0" w:line="245" w:lineRule="auto"/>
            </w:pPr>
            <w:r>
              <w:rPr>
                <w:b w:val="0"/>
                <w:color w:val="243142"/>
                <w:sz w:val="20"/>
              </w:rPr>
              <w:t>Likely process, machine or sensor-related explanation; alternatives and supporting evidence.</w:t>
            </w:r>
          </w:p>
        </w:tc>
      </w:tr>
      <w:tr>
        <w:trPr>
          <w:cantSplit/>
        </w:trPr>
        <w:tc>
          <w:tcPr>
            <w:tcW w:type="dxa" w:w="2333"/>
            <w:vAlign w:val="center"/>
            <w:tcMar>
              <w:top w:w="85" w:type="dxa"/>
              <w:bottom w:w="85" w:type="dxa"/>
              <w:left w:w="110" w:type="dxa"/>
              <w:right w:w="110" w:type="dxa"/>
            </w:tcMar>
          </w:tcPr>
          <w:p>
            <w:pPr>
              <w:spacing w:after="0" w:before="0" w:line="245" w:lineRule="auto"/>
            </w:pPr>
            <w:r>
              <w:rPr>
                <w:b w:val="0"/>
                <w:color w:val="243142"/>
                <w:sz w:val="20"/>
              </w:rPr>
              <w:t>What may be affected</w:t>
            </w:r>
          </w:p>
        </w:tc>
        <w:tc>
          <w:tcPr>
            <w:tcW w:type="dxa" w:w="7502"/>
            <w:vAlign w:val="center"/>
            <w:tcMar>
              <w:top w:w="85" w:type="dxa"/>
              <w:bottom w:w="85" w:type="dxa"/>
              <w:left w:w="110" w:type="dxa"/>
              <w:right w:w="110" w:type="dxa"/>
            </w:tcMar>
          </w:tcPr>
          <w:p>
            <w:pPr>
              <w:spacing w:after="0" w:before="0" w:line="245" w:lineRule="auto"/>
            </w:pPr>
            <w:r>
              <w:rPr>
                <w:b w:val="0"/>
                <w:color w:val="243142"/>
                <w:sz w:val="20"/>
              </w:rPr>
              <w:t>Potential process, quality, machine-health or maintenance consequence; uncertainty where applicable.</w:t>
            </w:r>
          </w:p>
        </w:tc>
      </w:tr>
      <w:tr>
        <w:trPr>
          <w:cantSplit/>
        </w:trPr>
        <w:tc>
          <w:tcPr>
            <w:tcW w:type="dxa" w:w="2333"/>
            <w:vAlign w:val="center"/>
            <w:tcMar>
              <w:top w:w="85" w:type="dxa"/>
              <w:bottom w:w="85" w:type="dxa"/>
              <w:left w:w="110" w:type="dxa"/>
              <w:right w:w="110" w:type="dxa"/>
            </w:tcMar>
          </w:tcPr>
          <w:p>
            <w:pPr>
              <w:spacing w:after="0" w:before="0" w:line="245" w:lineRule="auto"/>
            </w:pPr>
            <w:r>
              <w:rPr>
                <w:b w:val="0"/>
                <w:color w:val="243142"/>
                <w:sz w:val="20"/>
              </w:rPr>
              <w:t>Suggested action</w:t>
            </w:r>
          </w:p>
        </w:tc>
        <w:tc>
          <w:tcPr>
            <w:tcW w:type="dxa" w:w="7502"/>
            <w:vAlign w:val="center"/>
            <w:tcMar>
              <w:top w:w="85" w:type="dxa"/>
              <w:bottom w:w="85" w:type="dxa"/>
              <w:left w:w="110" w:type="dxa"/>
              <w:right w:w="110" w:type="dxa"/>
            </w:tcMar>
          </w:tcPr>
          <w:p>
            <w:pPr>
              <w:spacing w:after="0" w:before="0" w:line="245" w:lineRule="auto"/>
            </w:pPr>
            <w:r>
              <w:rPr>
                <w:b w:val="0"/>
                <w:color w:val="243142"/>
                <w:sz w:val="20"/>
              </w:rPr>
              <w:t>Recommended check, inspection, process review, maintenance task or replacement, with its reason.</w:t>
            </w:r>
          </w:p>
        </w:tc>
      </w:tr>
      <w:tr>
        <w:trPr>
          <w:cantSplit/>
        </w:trPr>
        <w:tc>
          <w:tcPr>
            <w:tcW w:type="dxa" w:w="2333"/>
            <w:vAlign w:val="center"/>
            <w:tcMar>
              <w:top w:w="85" w:type="dxa"/>
              <w:bottom w:w="85" w:type="dxa"/>
              <w:left w:w="110" w:type="dxa"/>
              <w:right w:w="110" w:type="dxa"/>
            </w:tcMar>
          </w:tcPr>
          <w:p>
            <w:pPr>
              <w:spacing w:after="0" w:before="0" w:line="245" w:lineRule="auto"/>
            </w:pPr>
            <w:r>
              <w:rPr>
                <w:b w:val="0"/>
                <w:color w:val="243142"/>
                <w:sz w:val="20"/>
              </w:rPr>
              <w:t>Timing and planning</w:t>
            </w:r>
          </w:p>
        </w:tc>
        <w:tc>
          <w:tcPr>
            <w:tcW w:type="dxa" w:w="7502"/>
            <w:vAlign w:val="center"/>
            <w:tcMar>
              <w:top w:w="85" w:type="dxa"/>
              <w:bottom w:w="85" w:type="dxa"/>
              <w:left w:w="110" w:type="dxa"/>
              <w:right w:w="110" w:type="dxa"/>
            </w:tcMar>
          </w:tcPr>
          <w:p>
            <w:pPr>
              <w:spacing w:after="0" w:before="0" w:line="245" w:lineRule="auto"/>
            </w:pPr>
            <w:r>
              <w:rPr>
                <w:b w:val="0"/>
                <w:color w:val="243142"/>
                <w:sz w:val="20"/>
              </w:rPr>
              <w:t>Urgency, justified due window, compatible shutdown, and any scheduling conflict.</w:t>
            </w:r>
          </w:p>
        </w:tc>
      </w:tr>
      <w:tr>
        <w:trPr>
          <w:cantSplit/>
        </w:trPr>
        <w:tc>
          <w:tcPr>
            <w:tcW w:type="dxa" w:w="2333"/>
            <w:vAlign w:val="center"/>
            <w:tcMar>
              <w:top w:w="85" w:type="dxa"/>
              <w:bottom w:w="85" w:type="dxa"/>
              <w:left w:w="110" w:type="dxa"/>
              <w:right w:w="110" w:type="dxa"/>
            </w:tcMar>
          </w:tcPr>
          <w:p>
            <w:pPr>
              <w:spacing w:after="0" w:before="0" w:line="245" w:lineRule="auto"/>
            </w:pPr>
            <w:r>
              <w:rPr>
                <w:b w:val="0"/>
                <w:color w:val="243142"/>
                <w:sz w:val="20"/>
              </w:rPr>
              <w:t>Evidence and confidence</w:t>
            </w:r>
          </w:p>
        </w:tc>
        <w:tc>
          <w:tcPr>
            <w:tcW w:type="dxa" w:w="7502"/>
            <w:vAlign w:val="center"/>
            <w:tcMar>
              <w:top w:w="85" w:type="dxa"/>
              <w:bottom w:w="85" w:type="dxa"/>
              <w:left w:w="110" w:type="dxa"/>
              <w:right w:w="110" w:type="dxa"/>
            </w:tcMar>
          </w:tcPr>
          <w:p>
            <w:pPr>
              <w:spacing w:after="0" w:before="0" w:line="245" w:lineRule="auto"/>
            </w:pPr>
            <w:r>
              <w:rPr>
                <w:b w:val="0"/>
                <w:color w:val="243142"/>
                <w:sz w:val="20"/>
              </w:rPr>
              <w:t>Data validity, uploaded-record review state, assumptions and unresolved checks.</w:t>
            </w:r>
          </w:p>
        </w:tc>
      </w:tr>
      <w:tr>
        <w:trPr>
          <w:cantSplit/>
        </w:trPr>
        <w:tc>
          <w:tcPr>
            <w:tcW w:type="dxa" w:w="2333"/>
            <w:vAlign w:val="center"/>
            <w:tcMar>
              <w:top w:w="85" w:type="dxa"/>
              <w:bottom w:w="85" w:type="dxa"/>
              <w:left w:w="110" w:type="dxa"/>
              <w:right w:w="110" w:type="dxa"/>
            </w:tcMar>
          </w:tcPr>
          <w:p>
            <w:pPr>
              <w:spacing w:after="0" w:before="0" w:line="245" w:lineRule="auto"/>
            </w:pPr>
            <w:r>
              <w:rPr>
                <w:b w:val="0"/>
                <w:color w:val="243142"/>
                <w:sz w:val="20"/>
              </w:rPr>
              <w:t>Lifecycle and closure</w:t>
            </w:r>
          </w:p>
        </w:tc>
        <w:tc>
          <w:tcPr>
            <w:tcW w:type="dxa" w:w="7502"/>
            <w:vAlign w:val="center"/>
            <w:tcMar>
              <w:top w:w="85" w:type="dxa"/>
              <w:bottom w:w="85" w:type="dxa"/>
              <w:left w:w="110" w:type="dxa"/>
              <w:right w:w="110" w:type="dxa"/>
            </w:tcMar>
          </w:tcPr>
          <w:p>
            <w:pPr>
              <w:spacing w:after="0" w:before="0" w:line="245" w:lineRule="auto"/>
            </w:pPr>
            <w:r>
              <w:rPr>
                <w:b w:val="0"/>
                <w:color w:val="243142"/>
                <w:sz w:val="20"/>
              </w:rPr>
              <w:t>Part-life milestone, inspection/replacement status, action owner and completion verification.</w:t>
            </w:r>
          </w:p>
        </w:tc>
      </w:tr>
      <w:tr>
        <w:trPr>
          <w:cantSplit/>
        </w:trPr>
        <w:tc>
          <w:tcPr>
            <w:tcW w:type="dxa" w:w="2333"/>
            <w:vAlign w:val="center"/>
            <w:tcMar>
              <w:top w:w="85" w:type="dxa"/>
              <w:bottom w:w="85" w:type="dxa"/>
              <w:left w:w="110" w:type="dxa"/>
              <w:right w:w="110" w:type="dxa"/>
            </w:tcMar>
          </w:tcPr>
          <w:p>
            <w:pPr>
              <w:spacing w:after="0" w:before="0" w:line="245" w:lineRule="auto"/>
            </w:pPr>
            <w:r>
              <w:rPr>
                <w:b w:val="0"/>
                <w:color w:val="243142"/>
                <w:sz w:val="20"/>
              </w:rPr>
              <w:t>Business value</w:t>
            </w:r>
          </w:p>
        </w:tc>
        <w:tc>
          <w:tcPr>
            <w:tcW w:type="dxa" w:w="7502"/>
            <w:vAlign w:val="center"/>
            <w:tcMar>
              <w:top w:w="85" w:type="dxa"/>
              <w:bottom w:w="85" w:type="dxa"/>
              <w:left w:w="110" w:type="dxa"/>
              <w:right w:w="110" w:type="dxa"/>
            </w:tcMar>
          </w:tcPr>
          <w:p>
            <w:pPr>
              <w:spacing w:after="0" w:before="0" w:line="245" w:lineRule="auto"/>
            </w:pPr>
            <w:r>
              <w:rPr>
                <w:b w:val="0"/>
                <w:color w:val="243142"/>
                <w:sz w:val="20"/>
              </w:rPr>
              <w:t>Estimated benefit or measured result, relevant cost and calculation basis, where supportable.</w:t>
            </w:r>
          </w:p>
        </w:tc>
      </w:tr>
    </w:tbl>
    <w:p>
      <w:pPr>
        <w:spacing w:after="40" w:line="84" w:lineRule="auto"/>
      </w:pPr>
      <w:r/>
    </w:p>
    <w:p>
      <w:pPr>
        <w:pStyle w:val="Heading2"/>
      </w:pPr>
      <w:r>
        <w:t>5.3 Management view</w:t>
      </w:r>
    </w:p>
    <w:p>
      <w:r>
        <w:t>Proposed detail: surface the highest-priority findings, upcoming inspections, parts requiring replacement, due or overdue maintenance, shutdown readiness, and supported ROI results. Keep detailed evidence accessible from each finding without mixing data reliability, maintenance workflow status and actual machine condition into a single indicator.</w:t>
      </w:r>
    </w:p>
    <w:p>
      <w:r>
        <w:br w:type="page"/>
      </w:r>
    </w:p>
    <w:p>
      <w:pPr>
        <w:pStyle w:val="Heading1"/>
      </w:pPr>
      <w:r>
        <w:t>6. Proposed actions and open decisions</w:t>
      </w:r>
    </w:p>
    <w:p>
      <w:pPr>
        <w:spacing w:after="160"/>
      </w:pPr>
      <w:r>
        <w:rPr>
          <w:color w:val="596574"/>
          <w:sz w:val="19"/>
        </w:rPr>
        <w:t>Suggested functions below are not assigned owners. Individual owners, due dates and approval of each action remain to be confirmed.</w:t>
      </w:r>
    </w:p>
    <w:tbl>
      <w:tblPr>
        <w:tblW w:type="auto" w:w="0"/>
        <w:jc w:val="center"/>
        <w:tblLayout w:type="fixed"/>
        <w:tblLook w:firstColumn="1" w:firstRow="1" w:lastColumn="0" w:lastRow="0" w:noHBand="0" w:noVBand="1" w:val="04A0"/>
        <w:tblBorders>
          <w:top w:val="single" w:sz="4" w:color="D4DCE3"/>
          <w:left w:val="single" w:sz="4" w:color="D4DCE3"/>
          <w:bottom w:val="single" w:sz="4" w:color="D4DCE3"/>
          <w:right w:val="single" w:sz="4" w:color="D4DCE3"/>
          <w:insideH w:val="single" w:sz="4" w:color="D4DCE3"/>
          <w:insideV w:val="single" w:sz="4" w:color="D4DCE3"/>
        </w:tblBorders>
      </w:tblPr>
      <w:tblGrid>
        <w:gridCol w:w="619"/>
        <w:gridCol w:w="6811"/>
        <w:gridCol w:w="2405"/>
      </w:tblGrid>
      <w:tr>
        <w:trPr>
          <w:cantSplit/>
          <w:tblHeader w:val="true"/>
        </w:trPr>
        <w:tc>
          <w:tcPr>
            <w:tcW w:type="dxa" w:w="619"/>
            <w:vAlign w:val="center"/>
            <w:tcMar>
              <w:top w:w="85" w:type="dxa"/>
              <w:bottom w:w="85" w:type="dxa"/>
              <w:left w:w="110" w:type="dxa"/>
              <w:right w:w="110" w:type="dxa"/>
            </w:tcMar>
            <w:shd w:fill="EEF2F5"/>
          </w:tcPr>
          <w:p>
            <w:pPr>
              <w:spacing w:after="0" w:before="0" w:line="245" w:lineRule="auto"/>
              <w:jc w:val="center"/>
            </w:pPr>
            <w:r>
              <w:rPr>
                <w:b/>
                <w:color w:val="243142"/>
                <w:sz w:val="19"/>
              </w:rPr>
              <w:t>ID</w:t>
            </w:r>
          </w:p>
        </w:tc>
        <w:tc>
          <w:tcPr>
            <w:tcW w:type="dxa" w:w="6811"/>
            <w:vAlign w:val="center"/>
            <w:tcMar>
              <w:top w:w="85" w:type="dxa"/>
              <w:bottom w:w="85" w:type="dxa"/>
              <w:left w:w="110" w:type="dxa"/>
              <w:right w:w="110" w:type="dxa"/>
            </w:tcMar>
            <w:shd w:fill="EEF2F5"/>
          </w:tcPr>
          <w:p>
            <w:pPr>
              <w:spacing w:after="0" w:before="0" w:line="245" w:lineRule="auto"/>
            </w:pPr>
            <w:r>
              <w:rPr>
                <w:b/>
                <w:color w:val="243142"/>
                <w:sz w:val="19"/>
              </w:rPr>
              <w:t>Action and expected deliverable</w:t>
            </w:r>
          </w:p>
        </w:tc>
        <w:tc>
          <w:tcPr>
            <w:tcW w:type="dxa" w:w="2405"/>
            <w:vAlign w:val="center"/>
            <w:tcMar>
              <w:top w:w="85" w:type="dxa"/>
              <w:bottom w:w="85" w:type="dxa"/>
              <w:left w:w="110" w:type="dxa"/>
              <w:right w:w="110" w:type="dxa"/>
            </w:tcMar>
            <w:shd w:fill="EEF2F5"/>
          </w:tcPr>
          <w:p>
            <w:pPr>
              <w:spacing w:after="0" w:before="0" w:line="245" w:lineRule="auto"/>
            </w:pPr>
            <w:r>
              <w:rPr>
                <w:b/>
                <w:color w:val="243142"/>
                <w:sz w:val="19"/>
              </w:rPr>
              <w:t>Suggested function</w:t>
            </w:r>
          </w:p>
        </w:tc>
      </w:tr>
      <w:tr>
        <w:trPr>
          <w:cantSplit/>
        </w:trPr>
        <w:tc>
          <w:tcPr>
            <w:tcW w:type="dxa" w:w="619"/>
            <w:vAlign w:val="center"/>
            <w:tcMar>
              <w:top w:w="85" w:type="dxa"/>
              <w:bottom w:w="85" w:type="dxa"/>
              <w:left w:w="110" w:type="dxa"/>
              <w:right w:w="110" w:type="dxa"/>
            </w:tcMar>
          </w:tcPr>
          <w:p>
            <w:pPr>
              <w:spacing w:after="0" w:before="0" w:line="245" w:lineRule="auto"/>
              <w:jc w:val="center"/>
            </w:pPr>
            <w:r>
              <w:rPr>
                <w:b w:val="0"/>
                <w:color w:val="243142"/>
                <w:sz w:val="19"/>
              </w:rPr>
              <w:t>A01</w:t>
            </w:r>
          </w:p>
        </w:tc>
        <w:tc>
          <w:tcPr>
            <w:tcW w:type="dxa" w:w="6811"/>
            <w:vAlign w:val="center"/>
            <w:tcMar>
              <w:top w:w="85" w:type="dxa"/>
              <w:bottom w:w="85" w:type="dxa"/>
              <w:left w:w="110" w:type="dxa"/>
              <w:right w:w="110" w:type="dxa"/>
            </w:tcMar>
          </w:tcPr>
          <w:p>
            <w:pPr>
              <w:spacing w:after="0" w:before="0" w:line="245" w:lineRule="auto"/>
            </w:pPr>
            <w:r>
              <w:rPr>
                <w:b w:val="0"/>
                <w:color w:val="243142"/>
                <w:sz w:val="19"/>
              </w:rPr>
              <w:t>Define the sensor-to-action workflow, required inputs, and finding/recommendation structure.</w:t>
            </w:r>
          </w:p>
        </w:tc>
        <w:tc>
          <w:tcPr>
            <w:tcW w:type="dxa" w:w="2405"/>
            <w:vAlign w:val="center"/>
            <w:tcMar>
              <w:top w:w="85" w:type="dxa"/>
              <w:bottom w:w="85" w:type="dxa"/>
              <w:left w:w="110" w:type="dxa"/>
              <w:right w:w="110" w:type="dxa"/>
            </w:tcMar>
          </w:tcPr>
          <w:p>
            <w:pPr>
              <w:spacing w:after="0" w:before="0" w:line="245" w:lineRule="auto"/>
            </w:pPr>
            <w:r>
              <w:rPr>
                <w:b w:val="0"/>
                <w:color w:val="243142"/>
                <w:sz w:val="19"/>
              </w:rPr>
              <w:t>Product + domain team</w:t>
            </w:r>
          </w:p>
        </w:tc>
      </w:tr>
      <w:tr>
        <w:trPr>
          <w:cantSplit/>
        </w:trPr>
        <w:tc>
          <w:tcPr>
            <w:tcW w:type="dxa" w:w="619"/>
            <w:vAlign w:val="center"/>
            <w:tcMar>
              <w:top w:w="85" w:type="dxa"/>
              <w:bottom w:w="85" w:type="dxa"/>
              <w:left w:w="110" w:type="dxa"/>
              <w:right w:w="110" w:type="dxa"/>
            </w:tcMar>
          </w:tcPr>
          <w:p>
            <w:pPr>
              <w:spacing w:after="0" w:before="0" w:line="245" w:lineRule="auto"/>
              <w:jc w:val="center"/>
            </w:pPr>
            <w:r>
              <w:rPr>
                <w:b w:val="0"/>
                <w:color w:val="243142"/>
                <w:sz w:val="19"/>
              </w:rPr>
              <w:t>A02</w:t>
            </w:r>
          </w:p>
        </w:tc>
        <w:tc>
          <w:tcPr>
            <w:tcW w:type="dxa" w:w="6811"/>
            <w:vAlign w:val="center"/>
            <w:tcMar>
              <w:top w:w="85" w:type="dxa"/>
              <w:bottom w:w="85" w:type="dxa"/>
              <w:left w:w="110" w:type="dxa"/>
              <w:right w:w="110" w:type="dxa"/>
            </w:tcMar>
          </w:tcPr>
          <w:p>
            <w:pPr>
              <w:spacing w:after="0" w:before="0" w:line="245" w:lineRule="auto"/>
            </w:pPr>
            <w:r>
              <w:rPr>
                <w:b w:val="0"/>
                <w:color w:val="243142"/>
                <w:sz w:val="19"/>
              </w:rPr>
              <w:t>Define trend analysis and issue-source checks for process, machine and sensor problems, including genuine versus suspect zero.</w:t>
            </w:r>
          </w:p>
        </w:tc>
        <w:tc>
          <w:tcPr>
            <w:tcW w:type="dxa" w:w="2405"/>
            <w:vAlign w:val="center"/>
            <w:tcMar>
              <w:top w:w="85" w:type="dxa"/>
              <w:bottom w:w="85" w:type="dxa"/>
              <w:left w:w="110" w:type="dxa"/>
              <w:right w:w="110" w:type="dxa"/>
            </w:tcMar>
          </w:tcPr>
          <w:p>
            <w:pPr>
              <w:spacing w:after="0" w:before="0" w:line="245" w:lineRule="auto"/>
            </w:pPr>
            <w:r>
              <w:rPr>
                <w:b w:val="0"/>
                <w:color w:val="243142"/>
                <w:sz w:val="19"/>
              </w:rPr>
              <w:t>Data / ML + instrumentation</w:t>
            </w:r>
          </w:p>
        </w:tc>
      </w:tr>
      <w:tr>
        <w:trPr>
          <w:cantSplit/>
        </w:trPr>
        <w:tc>
          <w:tcPr>
            <w:tcW w:type="dxa" w:w="619"/>
            <w:vAlign w:val="center"/>
            <w:tcMar>
              <w:top w:w="85" w:type="dxa"/>
              <w:bottom w:w="85" w:type="dxa"/>
              <w:left w:w="110" w:type="dxa"/>
              <w:right w:w="110" w:type="dxa"/>
            </w:tcMar>
          </w:tcPr>
          <w:p>
            <w:pPr>
              <w:spacing w:after="0" w:before="0" w:line="245" w:lineRule="auto"/>
              <w:jc w:val="center"/>
            </w:pPr>
            <w:r>
              <w:rPr>
                <w:b w:val="0"/>
                <w:color w:val="243142"/>
                <w:sz w:val="19"/>
              </w:rPr>
              <w:t>A03</w:t>
            </w:r>
          </w:p>
        </w:tc>
        <w:tc>
          <w:tcPr>
            <w:tcW w:type="dxa" w:w="6811"/>
            <w:vAlign w:val="center"/>
            <w:tcMar>
              <w:top w:w="85" w:type="dxa"/>
              <w:bottom w:w="85" w:type="dxa"/>
              <w:left w:w="110" w:type="dxa"/>
              <w:right w:w="110" w:type="dxa"/>
            </w:tcMar>
          </w:tcPr>
          <w:p>
            <w:pPr>
              <w:spacing w:after="0" w:before="0" w:line="245" w:lineRule="auto"/>
            </w:pPr>
            <w:r>
              <w:rPr>
                <w:b w:val="0"/>
                <w:color w:val="243142"/>
                <w:sz w:val="19"/>
              </w:rPr>
              <w:t>Specify the part register, life units, installation/replacement history and usage tracking.</w:t>
            </w:r>
          </w:p>
        </w:tc>
        <w:tc>
          <w:tcPr>
            <w:tcW w:type="dxa" w:w="2405"/>
            <w:vAlign w:val="center"/>
            <w:tcMar>
              <w:top w:w="85" w:type="dxa"/>
              <w:bottom w:w="85" w:type="dxa"/>
              <w:left w:w="110" w:type="dxa"/>
              <w:right w:w="110" w:type="dxa"/>
            </w:tcMar>
          </w:tcPr>
          <w:p>
            <w:pPr>
              <w:spacing w:after="0" w:before="0" w:line="245" w:lineRule="auto"/>
            </w:pPr>
            <w:r>
              <w:rPr>
                <w:b w:val="0"/>
                <w:color w:val="243142"/>
                <w:sz w:val="19"/>
              </w:rPr>
              <w:t>Product + maintenance</w:t>
            </w:r>
          </w:p>
        </w:tc>
      </w:tr>
      <w:tr>
        <w:trPr>
          <w:cantSplit/>
        </w:trPr>
        <w:tc>
          <w:tcPr>
            <w:tcW w:type="dxa" w:w="619"/>
            <w:vAlign w:val="center"/>
            <w:tcMar>
              <w:top w:w="85" w:type="dxa"/>
              <w:bottom w:w="85" w:type="dxa"/>
              <w:left w:w="110" w:type="dxa"/>
              <w:right w:w="110" w:type="dxa"/>
            </w:tcMar>
          </w:tcPr>
          <w:p>
            <w:pPr>
              <w:spacing w:after="0" w:before="0" w:line="245" w:lineRule="auto"/>
              <w:jc w:val="center"/>
            </w:pPr>
            <w:r>
              <w:rPr>
                <w:b w:val="0"/>
                <w:color w:val="243142"/>
                <w:sz w:val="19"/>
              </w:rPr>
              <w:t>A04</w:t>
            </w:r>
          </w:p>
        </w:tc>
        <w:tc>
          <w:tcPr>
            <w:tcW w:type="dxa" w:w="6811"/>
            <w:vAlign w:val="center"/>
            <w:tcMar>
              <w:top w:w="85" w:type="dxa"/>
              <w:bottom w:w="85" w:type="dxa"/>
              <w:left w:w="110" w:type="dxa"/>
              <w:right w:w="110" w:type="dxa"/>
            </w:tcMar>
          </w:tcPr>
          <w:p>
            <w:pPr>
              <w:spacing w:after="0" w:before="0" w:line="245" w:lineRule="auto"/>
            </w:pPr>
            <w:r>
              <w:rPr>
                <w:b w:val="0"/>
                <w:color w:val="243142"/>
                <w:sz w:val="19"/>
              </w:rPr>
              <w:t>Define inspection acceptance and orange/yellow/green transitions, including reinspection and life-extension controls.</w:t>
            </w:r>
          </w:p>
        </w:tc>
        <w:tc>
          <w:tcPr>
            <w:tcW w:type="dxa" w:w="2405"/>
            <w:vAlign w:val="center"/>
            <w:tcMar>
              <w:top w:w="85" w:type="dxa"/>
              <w:bottom w:w="85" w:type="dxa"/>
              <w:left w:w="110" w:type="dxa"/>
              <w:right w:w="110" w:type="dxa"/>
            </w:tcMar>
          </w:tcPr>
          <w:p>
            <w:pPr>
              <w:spacing w:after="0" w:before="0" w:line="245" w:lineRule="auto"/>
            </w:pPr>
            <w:r>
              <w:rPr>
                <w:b w:val="0"/>
                <w:color w:val="243142"/>
                <w:sz w:val="19"/>
              </w:rPr>
              <w:t>Maintenance + design</w:t>
            </w:r>
          </w:p>
        </w:tc>
      </w:tr>
      <w:tr>
        <w:trPr>
          <w:cantSplit/>
        </w:trPr>
        <w:tc>
          <w:tcPr>
            <w:tcW w:type="dxa" w:w="619"/>
            <w:vAlign w:val="center"/>
            <w:tcMar>
              <w:top w:w="85" w:type="dxa"/>
              <w:bottom w:w="85" w:type="dxa"/>
              <w:left w:w="110" w:type="dxa"/>
              <w:right w:w="110" w:type="dxa"/>
            </w:tcMar>
          </w:tcPr>
          <w:p>
            <w:pPr>
              <w:spacing w:after="0" w:before="0" w:line="245" w:lineRule="auto"/>
              <w:jc w:val="center"/>
            </w:pPr>
            <w:r>
              <w:rPr>
                <w:b w:val="0"/>
                <w:color w:val="243142"/>
                <w:sz w:val="19"/>
              </w:rPr>
              <w:t>A05</w:t>
            </w:r>
          </w:p>
        </w:tc>
        <w:tc>
          <w:tcPr>
            <w:tcW w:type="dxa" w:w="6811"/>
            <w:vAlign w:val="center"/>
            <w:tcMar>
              <w:top w:w="85" w:type="dxa"/>
              <w:bottom w:w="85" w:type="dxa"/>
              <w:left w:w="110" w:type="dxa"/>
              <w:right w:w="110" w:type="dxa"/>
            </w:tcMar>
          </w:tcPr>
          <w:p>
            <w:pPr>
              <w:spacing w:after="0" w:before="0" w:line="245" w:lineRule="auto"/>
            </w:pPr>
            <w:r>
              <w:rPr>
                <w:b w:val="0"/>
                <w:color w:val="243142"/>
                <w:sz w:val="19"/>
              </w:rPr>
              <w:t>Define survey and maintenance-upload fields, evidence requirements, validation and data-trust review.</w:t>
            </w:r>
          </w:p>
        </w:tc>
        <w:tc>
          <w:tcPr>
            <w:tcW w:type="dxa" w:w="2405"/>
            <w:vAlign w:val="center"/>
            <w:tcMar>
              <w:top w:w="85" w:type="dxa"/>
              <w:bottom w:w="85" w:type="dxa"/>
              <w:left w:w="110" w:type="dxa"/>
              <w:right w:w="110" w:type="dxa"/>
            </w:tcMar>
          </w:tcPr>
          <w:p>
            <w:pPr>
              <w:spacing w:after="0" w:before="0" w:line="245" w:lineRule="auto"/>
            </w:pPr>
            <w:r>
              <w:rPr>
                <w:b w:val="0"/>
                <w:color w:val="243142"/>
                <w:sz w:val="19"/>
              </w:rPr>
              <w:t>Data engineering + maintenance</w:t>
            </w:r>
          </w:p>
        </w:tc>
      </w:tr>
      <w:tr>
        <w:trPr>
          <w:cantSplit/>
        </w:trPr>
        <w:tc>
          <w:tcPr>
            <w:tcW w:type="dxa" w:w="619"/>
            <w:vAlign w:val="center"/>
            <w:tcMar>
              <w:top w:w="85" w:type="dxa"/>
              <w:bottom w:w="85" w:type="dxa"/>
              <w:left w:w="110" w:type="dxa"/>
              <w:right w:w="110" w:type="dxa"/>
            </w:tcMar>
          </w:tcPr>
          <w:p>
            <w:pPr>
              <w:spacing w:after="0" w:before="0" w:line="245" w:lineRule="auto"/>
              <w:jc w:val="center"/>
            </w:pPr>
            <w:r>
              <w:rPr>
                <w:b w:val="0"/>
                <w:color w:val="243142"/>
                <w:sz w:val="19"/>
              </w:rPr>
              <w:t>A06</w:t>
            </w:r>
          </w:p>
        </w:tc>
        <w:tc>
          <w:tcPr>
            <w:tcW w:type="dxa" w:w="6811"/>
            <w:vAlign w:val="center"/>
            <w:tcMar>
              <w:top w:w="85" w:type="dxa"/>
              <w:bottom w:w="85" w:type="dxa"/>
              <w:left w:w="110" w:type="dxa"/>
              <w:right w:w="110" w:type="dxa"/>
            </w:tcMar>
          </w:tcPr>
          <w:p>
            <w:pPr>
              <w:spacing w:after="0" w:before="0" w:line="245" w:lineRule="auto"/>
            </w:pPr>
            <w:r>
              <w:rPr>
                <w:b w:val="0"/>
                <w:color w:val="243142"/>
                <w:sz w:val="19"/>
              </w:rPr>
              <w:t>Specify recurring maintenance, shutdown scheduling, replacement deadlines and scheduling-conflict escalation.</w:t>
            </w:r>
          </w:p>
        </w:tc>
        <w:tc>
          <w:tcPr>
            <w:tcW w:type="dxa" w:w="2405"/>
            <w:vAlign w:val="center"/>
            <w:tcMar>
              <w:top w:w="85" w:type="dxa"/>
              <w:bottom w:w="85" w:type="dxa"/>
              <w:left w:w="110" w:type="dxa"/>
              <w:right w:w="110" w:type="dxa"/>
            </w:tcMar>
          </w:tcPr>
          <w:p>
            <w:pPr>
              <w:spacing w:after="0" w:before="0" w:line="245" w:lineRule="auto"/>
            </w:pPr>
            <w:r>
              <w:rPr>
                <w:b w:val="0"/>
                <w:color w:val="243142"/>
                <w:sz w:val="19"/>
              </w:rPr>
              <w:t>Product + maintenance</w:t>
            </w:r>
          </w:p>
        </w:tc>
      </w:tr>
      <w:tr>
        <w:trPr>
          <w:cantSplit/>
        </w:trPr>
        <w:tc>
          <w:tcPr>
            <w:tcW w:type="dxa" w:w="619"/>
            <w:vAlign w:val="center"/>
            <w:tcMar>
              <w:top w:w="85" w:type="dxa"/>
              <w:bottom w:w="85" w:type="dxa"/>
              <w:left w:w="110" w:type="dxa"/>
              <w:right w:w="110" w:type="dxa"/>
            </w:tcMar>
          </w:tcPr>
          <w:p>
            <w:pPr>
              <w:spacing w:after="0" w:before="0" w:line="245" w:lineRule="auto"/>
              <w:jc w:val="center"/>
            </w:pPr>
            <w:r>
              <w:rPr>
                <w:b w:val="0"/>
                <w:color w:val="243142"/>
                <w:sz w:val="19"/>
              </w:rPr>
              <w:t>A07</w:t>
            </w:r>
          </w:p>
        </w:tc>
        <w:tc>
          <w:tcPr>
            <w:tcW w:type="dxa" w:w="6811"/>
            <w:vAlign w:val="center"/>
            <w:tcMar>
              <w:top w:w="85" w:type="dxa"/>
              <w:bottom w:w="85" w:type="dxa"/>
              <w:left w:w="110" w:type="dxa"/>
              <w:right w:w="110" w:type="dxa"/>
            </w:tcMar>
          </w:tcPr>
          <w:p>
            <w:pPr>
              <w:spacing w:after="0" w:before="0" w:line="245" w:lineRule="auto"/>
            </w:pPr>
            <w:r>
              <w:rPr>
                <w:b w:val="0"/>
                <w:color w:val="243142"/>
                <w:sz w:val="19"/>
              </w:rPr>
              <w:t>Agree on ROI baseline, reporting period, costs, benefit attribution and evidence for claimed savings.</w:t>
            </w:r>
          </w:p>
        </w:tc>
        <w:tc>
          <w:tcPr>
            <w:tcW w:type="dxa" w:w="2405"/>
            <w:vAlign w:val="center"/>
            <w:tcMar>
              <w:top w:w="85" w:type="dxa"/>
              <w:bottom w:w="85" w:type="dxa"/>
              <w:left w:w="110" w:type="dxa"/>
              <w:right w:w="110" w:type="dxa"/>
            </w:tcMar>
          </w:tcPr>
          <w:p>
            <w:pPr>
              <w:spacing w:after="0" w:before="0" w:line="245" w:lineRule="auto"/>
            </w:pPr>
            <w:r>
              <w:rPr>
                <w:b w:val="0"/>
                <w:color w:val="243142"/>
                <w:sz w:val="19"/>
              </w:rPr>
              <w:t>Finance + product</w:t>
            </w:r>
          </w:p>
        </w:tc>
      </w:tr>
      <w:tr>
        <w:trPr>
          <w:cantSplit/>
        </w:trPr>
        <w:tc>
          <w:tcPr>
            <w:tcW w:type="dxa" w:w="619"/>
            <w:vAlign w:val="center"/>
            <w:tcMar>
              <w:top w:w="85" w:type="dxa"/>
              <w:bottom w:w="85" w:type="dxa"/>
              <w:left w:w="110" w:type="dxa"/>
              <w:right w:w="110" w:type="dxa"/>
            </w:tcMar>
          </w:tcPr>
          <w:p>
            <w:pPr>
              <w:spacing w:after="0" w:before="0" w:line="245" w:lineRule="auto"/>
              <w:jc w:val="center"/>
            </w:pPr>
            <w:r>
              <w:rPr>
                <w:b w:val="0"/>
                <w:color w:val="243142"/>
                <w:sz w:val="19"/>
              </w:rPr>
              <w:t>A08</w:t>
            </w:r>
          </w:p>
        </w:tc>
        <w:tc>
          <w:tcPr>
            <w:tcW w:type="dxa" w:w="6811"/>
            <w:vAlign w:val="center"/>
            <w:tcMar>
              <w:top w:w="85" w:type="dxa"/>
              <w:bottom w:w="85" w:type="dxa"/>
              <w:left w:w="110" w:type="dxa"/>
              <w:right w:w="110" w:type="dxa"/>
            </w:tcMar>
          </w:tcPr>
          <w:p>
            <w:pPr>
              <w:spacing w:after="0" w:before="0" w:line="245" w:lineRule="auto"/>
            </w:pPr>
            <w:r>
              <w:rPr>
                <w:b w:val="0"/>
                <w:color w:val="243142"/>
                <w:sz w:val="19"/>
              </w:rPr>
              <w:t>Design and validate finding, maintenance and management views, including uncertainty and action closure.</w:t>
            </w:r>
          </w:p>
        </w:tc>
        <w:tc>
          <w:tcPr>
            <w:tcW w:type="dxa" w:w="2405"/>
            <w:vAlign w:val="center"/>
            <w:tcMar>
              <w:top w:w="85" w:type="dxa"/>
              <w:bottom w:w="85" w:type="dxa"/>
              <w:left w:w="110" w:type="dxa"/>
              <w:right w:w="110" w:type="dxa"/>
            </w:tcMar>
          </w:tcPr>
          <w:p>
            <w:pPr>
              <w:spacing w:after="0" w:before="0" w:line="245" w:lineRule="auto"/>
            </w:pPr>
            <w:r>
              <w:rPr>
                <w:b w:val="0"/>
                <w:color w:val="243142"/>
                <w:sz w:val="19"/>
              </w:rPr>
              <w:t>Design + QA + domain team</w:t>
            </w:r>
          </w:p>
        </w:tc>
      </w:tr>
    </w:tbl>
    <w:p>
      <w:pPr>
        <w:spacing w:after="40" w:line="84" w:lineRule="auto"/>
      </w:pPr>
      <w:r/>
    </w:p>
    <w:p>
      <w:pPr>
        <w:pStyle w:val="Heading2"/>
      </w:pPr>
      <w:r>
        <w:t>6.1 Open decisions requiring confirmation</w:t>
      </w:r>
    </w:p>
    <w:p>
      <w:r>
        <w:rPr>
          <w:b/>
        </w:rPr>
        <w:t xml:space="preserve">Life inputs. </w:t>
      </w:r>
      <w:r>
        <w:t>What reference and unit should define expected life for each part, and how will accumulated usage be obtained?</w:t>
      </w:r>
    </w:p>
    <w:p>
      <w:r>
        <w:rPr>
          <w:b/>
        </w:rPr>
        <w:t xml:space="preserve">Inspection and colors. </w:t>
      </w:r>
      <w:r>
        <w:t>Who may approve continued use after inspection, what constitutes an acceptable inspection, and when must yellow return for review?</w:t>
      </w:r>
    </w:p>
    <w:p>
      <w:r>
        <w:rPr>
          <w:b/>
        </w:rPr>
        <w:t xml:space="preserve">Data trust and diagnosis. </w:t>
      </w:r>
      <w:r>
        <w:t>How will trusted uploads and diagnostic confidence be determined, and how will missing, conflicting or stale evidence be handled?</w:t>
      </w:r>
    </w:p>
    <w:p>
      <w:r>
        <w:rPr>
          <w:b/>
        </w:rPr>
        <w:t xml:space="preserve">Action timing. </w:t>
      </w:r>
      <w:r>
        <w:t>What approved rules determine replacement within a number of days, and who resolves a deadline that precedes the next shutdown?</w:t>
      </w:r>
    </w:p>
    <w:p>
      <w:r>
        <w:rPr>
          <w:b/>
        </w:rPr>
        <w:t xml:space="preserve">Business value. </w:t>
      </w:r>
      <w:r>
        <w:t>Which outcomes count toward ROI, what baseline is used, and who verifies the financial claims?</w:t>
      </w:r>
    </w:p>
    <w:p>
      <w:pPr>
        <w:pStyle w:val="Heading2"/>
      </w:pPr>
      <w:r>
        <w:t>6.2 Proposed validation scenarios</w:t>
      </w:r>
    </w:p>
    <w:p>
      <w:r>
        <w:t>Test a genuine zero, a suspect sensor zero, missing data, a process change, a likely machine issue, life expiry requiring inspection, inspection without replacement, confirmed replacement, an unverified maintenance upload, and a shutdown later than the action deadline. Verify that the explanation, status, timing and evidence remain consistent in each case.</w:t>
      </w:r>
    </w:p>
    <w:p>
      <w:pPr>
        <w:pStyle w:val="Heading2"/>
      </w:pPr>
      <w:r>
        <w:t>6.3 Meeting outcome</w:t>
      </w:r>
    </w:p>
    <w:p>
      <w:r>
        <w:t>The direction is to connect sensor observations with explainable causes, potential consequences and suggested actions, then support those actions through trustworthy records, part-life management, maintenance scheduling and measurable value. The proposed actions and open decisions above form the follow-up agenda.</w:t>
      </w:r>
    </w:p>
    <w:sectPr w:rsidR="00FC693F" w:rsidRPr="0006063C" w:rsidSect="00034616">
      <w:footerReference w:type="default" r:id="rId9"/>
      <w:pgSz w:w="11909" w:h="16834"/>
      <w:pgMar w:top="936" w:right="1037" w:bottom="936"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596574"/>
        <w:sz w:val="18"/>
      </w:rPr>
      <w:t xml:space="preserve">Minutes of Meeting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20"/>
    </w:pPr>
    <w:rPr>
      <w:rFonts w:ascii="Calibri" w:hAnsi="Calibri"/>
      <w:color w:val="2431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253D55"/>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53D55"/>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53D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b/>
      <w:color w:val="24314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Calibri" w:hAnsi="Calibri"/>
      <w:i/>
      <w:iCs/>
      <w:color w:val="253D55"/>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color w:val="24314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Minutes of Meeting - Sensor Intelligence and Maintenance Planning</dc:title>
  <dc:subject>Sensor interpretation, part life, trusted maintenance data, shutdown planning and ROI</dc:subject>
  <dc:creator/>
  <cp:keywords>Minutes of Meeting, sensors, machine health, maintenance, ROI</cp:keywords>
  <dc:description/>
  <cp:lastModifiedBy/>
  <cp:revision>1</cp:revision>
  <dcterms:created xsi:type="dcterms:W3CDTF">2013-12-23T23:15:00Z</dcterms:created>
  <dcterms:modified xsi:type="dcterms:W3CDTF">2013-12-23T23:15:00Z</dcterms:modified>
  <cp:category/>
</cp:coreProperties>
</file>