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99f8a31acea14107" /><Relationship Type="http://schemas.openxmlformats.org/package/2006/relationships/metadata/core-properties" Target="/docProps/core.xml" Id="R1f5ac01d4a564a67" /><Relationship Type="http://schemas.openxmlformats.org/officeDocument/2006/relationships/extended-properties" Target="/docProps/app.xml" Id="Rc4714b70c12c48db" /><Relationship Type="http://schemas.openxmlformats.org/officeDocument/2006/relationships/custom-properties" Target="/docProps/custom.xml" Id="R96c9fea7465142a3"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sz w:val="44"/>
        </w:rPr>
        <w:t xml:space="preserve">Amazon Sales Analytics — Executive Report</w:t>
      </w:r>
    </w:p>
    <w:p w14:paraId="00100002" w14:textId="00100003">
      <w:pPr>
        <w:spacing w:after="80"/>
        <w:jc w:val="center"/>
      </w:pPr>
      <w:r>
        <w:rPr>
          <w:color w:val="57606A"/>
          <w:sz w:val="24"/>
        </w:rPr>
        <w:t xml:space="preserve">IBM SkillBuild | AICTE Data Analytics Internship</w:t>
      </w:r>
    </w:p>
    <w:p w14:paraId="00100004" w14:textId="00100005">
      <w:pPr>
        <w:spacing w:after="320"/>
        <w:jc w:val="center"/>
      </w:pPr>
      <w:r>
        <w:rPr>
          <w:color w:val="57606A"/>
          <w:sz w:val="22"/>
        </w:rPr>
        <w:t xml:space="preserve">Author: Swastik Shaw  |  Dataset: Amazon Sale Report (Kaggle)  |  Framework: Fact to Executive Action</w:t>
      </w:r>
    </w:p>
    <w:p w14:paraId="00100006" w14:textId="00100007">
      <w:pPr>
        <w:pStyle w:val="Heading1"/>
        <w:spacing w:before="280" w:after="160"/>
      </w:pPr>
      <w:r>
        <w:rPr>
          <w:b/>
          <w:sz w:val="36"/>
        </w:rPr>
        <w:t xml:space="preserve">1. Executive Overview</w:t>
      </w:r>
    </w:p>
    <w:p w14:paraId="00100008" w14:textId="00100009">
      <w:pPr>
        <w:spacing w:after="160"/>
      </w:pPr>
      <w:r>
        <w:rPr>
          <w:sz w:val="22"/>
        </w:rPr>
        <w:t xml:space="preserve">This report presents a comprehensive data analytics study of Amazon India's e-commerce sales operations for April–June 2022. The analysis covers approximately 128,975 transactional records spanning 24 product categories and 28 Indian states. The project was executed using the IBM SkillBuild 'Fact to Executive Action' framework, transforming raw sales data into actionable intelligence for business leadership.</w:t>
      </w:r>
    </w:p>
    <w:p w14:paraId="0010000A" w14:textId="0010000B">
      <w:pPr>
        <w:spacing w:after="160"/>
      </w:pPr>
      <w:r>
        <w:rPr>
          <w:sz w:val="22"/>
        </w:rPr>
        <w:t xml:space="preserve">Deliverables include an interactive Streamlit analytics dashboard, Plotly exploratory visualisations, a Random Forest ML model for order shipment prediction, and this executive summary document.</w:t>
      </w:r>
    </w:p>
    <w:p w14:paraId="0010000C" w14:textId="0010000D">
      <w:pPr>
        <w:pStyle w:val="Heading1"/>
        <w:spacing w:before="280" w:after="160"/>
      </w:pPr>
      <w:r>
        <w:rPr>
          <w:b/>
          <w:sz w:val="36"/>
        </w:rPr>
        <w:t xml:space="preserve">2. Key Performance Indicators (KPIs)</w:t>
      </w:r>
    </w:p>
    <w:p w14:paraId="0010000E" w14:textId="0010000F">
      <w:pPr>
        <w:spacing w:after="80"/>
      </w:pPr>
      <w:r>
        <w:rPr>
          <w:b/>
          <w:sz w:val="22"/>
        </w:rPr>
        <w:t xml:space="preserve">KPI | Value | Business Meaning</w:t>
      </w:r>
    </w:p>
    <w:p w14:paraId="00100010" w14:textId="00100011">
      <w:pPr>
        <w:spacing w:after="80"/>
      </w:pPr>
      <w:r>
        <w:rPr>
          <w:sz w:val="22"/>
        </w:rPr>
        <w:t xml:space="preserve">Total Revenue (INR) | ~Rs 7.15 Crore | Total income from successfully shipped orders</w:t>
      </w:r>
    </w:p>
    <w:p w14:paraId="00100012" w14:textId="00100013">
      <w:pPr>
        <w:spacing w:after="80"/>
      </w:pPr>
      <w:r>
        <w:rPr>
          <w:sz w:val="22"/>
        </w:rPr>
        <w:t xml:space="preserve">Total Orders | ~128,975 | Unique purchase transactions in the dataset</w:t>
      </w:r>
    </w:p>
    <w:p w14:paraId="00100014" w14:textId="00100015">
      <w:pPr>
        <w:spacing w:after="80"/>
      </w:pPr>
      <w:r>
        <w:rPr>
          <w:sz w:val="22"/>
        </w:rPr>
        <w:t xml:space="preserve">Average Order Value (AOV) | ~Rs 554 | Mean spend per transaction</w:t>
      </w:r>
    </w:p>
    <w:p w14:paraId="00100016" w14:textId="00100017">
      <w:pPr>
        <w:spacing w:after="80"/>
      </w:pPr>
      <w:r>
        <w:rPr>
          <w:sz w:val="22"/>
        </w:rPr>
        <w:t xml:space="preserve">Estimated Gross Profit | ~Rs 1.57 Crore | Revenue x 22% margin assumption</w:t>
      </w:r>
    </w:p>
    <w:p w14:paraId="00100018" w14:textId="00100019">
      <w:pPr>
        <w:spacing w:after="80"/>
      </w:pPr>
      <w:r>
        <w:rPr>
          <w:sz w:val="22"/>
        </w:rPr>
        <w:t xml:space="preserve">Cancellation Rate | ~28% | Orders cancelled — key operational risk metric</w:t>
      </w:r>
    </w:p>
    <w:p w14:paraId="0010001A" w14:textId="0010001B">
      <w:pPr>
        <w:spacing w:after="80"/>
      </w:pPr>
      <w:r>
        <w:rPr>
          <w:sz w:val="22"/>
        </w:rPr>
        <w:t xml:space="preserve">B2B Order Share | ~3.5% | Low volume, but 3x higher AOV than B2C</w:t>
      </w:r>
    </w:p>
    <w:p w14:paraId="0010001C" w14:textId="0010001D">
      <w:pPr>
        <w:spacing w:after="240"/>
      </w:pPr>
      <w:r>
        <w:rPr>
          <w:sz w:val="22"/>
        </w:rPr>
        <w:t xml:space="preserve">MoM Revenue Growth | Variable | Computed dynamically in dashboard</w:t>
      </w:r>
    </w:p>
    <w:p w14:paraId="0010001E" w14:textId="0010001F">
      <w:pPr>
        <w:pStyle w:val="Heading1"/>
        <w:spacing w:before="280" w:after="160"/>
      </w:pPr>
      <w:r>
        <w:rPr>
          <w:b/>
          <w:sz w:val="36"/>
        </w:rPr>
        <w:t xml:space="preserve">3. Fact to Insight to Opportunity to Action Analysis</w:t>
      </w:r>
    </w:p>
    <w:p w14:paraId="00100020" w14:textId="00100021">
      <w:pPr>
        <w:pStyle w:val="Heading2"/>
        <w:spacing w:before="200" w:after="120"/>
      </w:pPr>
      <w:r>
        <w:rPr>
          <w:b/>
          <w:sz w:val="28"/>
        </w:rPr>
        <w:t xml:space="preserve">3.1 FACT — What the Data Shows</w:t>
      </w:r>
    </w:p>
    <w:p w14:paraId="00100022" w14:textId="00100023">
      <w:pPr>
        <w:spacing w:after="160"/>
      </w:pPr>
      <w:r>
        <w:rPr>
          <w:sz w:val="22"/>
        </w:rPr>
        <w:t xml:space="preserve">The Amazon India sales dataset reveals a concentrated revenue pattern: the top two product categories (Set and Kurta) account for over 60% of total shipped revenue. The top three states — Maharashtra, Karnataka, and Uttar Pradesh — generate approximately 45% of overall sales. Approximately 28% of all orders were cancelled, representing significant revenue leakage. Amazon-fulfilled orders consistently achieve higher shipment success rates compared to Merchant-fulfilled orders.</w:t>
      </w:r>
    </w:p>
    <w:p w14:paraId="00100024" w14:textId="00100025">
      <w:pPr>
        <w:pStyle w:val="Heading2"/>
        <w:spacing w:before="200" w:after="120"/>
      </w:pPr>
      <w:r>
        <w:rPr>
          <w:b/>
          <w:sz w:val="28"/>
        </w:rPr>
        <w:t xml:space="preserve">3.2 INSIGHT — What It Means</w:t>
      </w:r>
    </w:p>
    <w:p w14:paraId="00100026" w14:textId="00100027">
      <w:pPr>
        <w:spacing w:after="160"/>
      </w:pPr>
      <w:r>
        <w:rPr>
          <w:sz w:val="22"/>
        </w:rPr>
        <w:t xml:space="preserve">The extreme category concentration creates both a strength and a vulnerability: while Set and Kurta drive revenue, over-reliance on two SKU families exposes the business to demand volatility. The 28% cancellation rate, particularly high among Merchant-fulfilled orders, indicates a systemic fulfilment reliability gap. B2B transactions, though only 3-4% by volume, carry disproportionately high order values, signalling an under-monetised customer segment.</w:t>
      </w:r>
    </w:p>
    <w:p w14:paraId="00100028" w14:textId="00100029">
      <w:pPr>
        <w:pStyle w:val="Heading2"/>
        <w:spacing w:before="200" w:after="120"/>
      </w:pPr>
      <w:r>
        <w:rPr>
          <w:b/>
          <w:sz w:val="28"/>
        </w:rPr>
        <w:t xml:space="preserve">3.3 OPPORTUNITY — What Could Be Captured</w:t>
      </w:r>
    </w:p>
    <w:p w14:paraId="0010002A" w14:textId="0010002B">
      <w:pPr>
        <w:spacing w:after="80"/>
      </w:pPr>
      <w:r>
        <w:rPr>
          <w:b/>
          <w:sz w:val="22"/>
        </w:rPr>
        <w:t xml:space="preserve">Opportunity | Est. Revenue Impact | Effort</w:t>
      </w:r>
    </w:p>
    <w:p w14:paraId="0010002C" w14:textId="0010002D">
      <w:pPr>
        <w:spacing w:after="80"/>
      </w:pPr>
      <w:r>
        <w:rPr>
          <w:sz w:val="22"/>
        </w:rPr>
        <w:t xml:space="preserve">Reduce cancellation rate by 10% | +Rs 70-90 Lakhs/quarter | Medium</w:t>
      </w:r>
    </w:p>
    <w:p w14:paraId="0010002E" w14:textId="0010002F">
      <w:pPr>
        <w:spacing w:after="80"/>
      </w:pPr>
      <w:r>
        <w:rPr>
          <w:sz w:val="22"/>
        </w:rPr>
        <w:t xml:space="preserve">Expand Set/Kurta to 5 new states | +Rs 40-60 Lakhs/quarter | Medium</w:t>
      </w:r>
    </w:p>
    <w:p w14:paraId="00100030" w14:textId="00100031">
      <w:pPr>
        <w:spacing w:after="80"/>
      </w:pPr>
      <w:r>
        <w:rPr>
          <w:sz w:val="22"/>
        </w:rPr>
        <w:t xml:space="preserve">Migrate Merchant to Amazon Fulfillment | +Rs 25-35 Lakhs/quarter | High</w:t>
      </w:r>
    </w:p>
    <w:p w14:paraId="00100032" w14:textId="00100033">
      <w:pPr>
        <w:spacing w:after="240"/>
      </w:pPr>
      <w:r>
        <w:rPr>
          <w:sz w:val="22"/>
        </w:rPr>
        <w:t xml:space="preserve">Activate B2B bulk pricing tier | +Rs 20-30 Lakhs/quarter | Low</w:t>
      </w:r>
    </w:p>
    <w:p w14:paraId="00100034" w14:textId="00100035">
      <w:pPr>
        <w:pStyle w:val="Heading2"/>
        <w:spacing w:before="200" w:after="120"/>
      </w:pPr>
      <w:r>
        <w:rPr>
          <w:b/>
          <w:sz w:val="28"/>
        </w:rPr>
        <w:t xml:space="preserve">3.4 ACTION — What Leaders Should Do</w:t>
      </w:r>
    </w:p>
    <w:p w14:paraId="00100036" w14:textId="00100037">
      <w:pPr>
        <w:numPr>
          <w:ilvl w:val="0"/>
          <w:numId w:val="1"/>
        </w:numPr>
        <w:spacing w:after="120"/>
      </w:pPr>
      <w:r>
        <w:rPr>
          <w:sz w:val="22"/>
        </w:rPr>
        <w:t xml:space="preserve">Action 1 — Inventory Reallocation: Increase Set and Kurta stock by 30% in Rajasthan, Gujarat, and Tamil Nadu, markets currently underserved relative to national demand signals.</w:t>
      </w:r>
    </w:p>
    <w:p w14:paraId="00100038" w14:textId="00100039">
      <w:pPr>
        <w:numPr>
          <w:ilvl w:val="0"/>
          <w:numId w:val="1"/>
        </w:numPr>
        <w:spacing w:after="120"/>
      </w:pPr>
      <w:r>
        <w:rPr>
          <w:sz w:val="22"/>
        </w:rPr>
        <w:t xml:space="preserve">Action 2 — Fulfilment Upgrade Campaign: Incentivise top 20 Merchant-fulfilled sellers to migrate to Amazon FBA with a 30-day fee-waiver pilot. Target merchants in high-cancellation states first.</w:t>
      </w:r>
    </w:p>
    <w:p w14:paraId="0010003A" w14:textId="0010003B">
      <w:pPr>
        <w:numPr>
          <w:ilvl w:val="0"/>
          <w:numId w:val="1"/>
        </w:numPr>
        <w:spacing w:after="120"/>
      </w:pPr>
      <w:r>
        <w:rPr>
          <w:sz w:val="22"/>
        </w:rPr>
        <w:t xml:space="preserve">Action 3 — Cancellation Reduction: Implement SMS and email pre-shipment confirmation for orders above Rs 800. Deploy the ML shipment predictor to flag high-cancellation-risk orders for proactive operations intervention.</w:t>
      </w:r>
    </w:p>
    <w:p w14:paraId="0010003C" w14:textId="0010003D">
      <w:pPr>
        <w:numPr>
          <w:ilvl w:val="0"/>
          <w:numId w:val="1"/>
        </w:numPr>
        <w:spacing w:after="120"/>
      </w:pPr>
      <w:r>
        <w:rPr>
          <w:sz w:val="22"/>
        </w:rPr>
        <w:t xml:space="preserve">Action 4 — B2B Activation: Create a dedicated B2B product catalogue with tiered bulk pricing for institutional buyers in Karnataka and Maharashtra.</w:t>
      </w:r>
    </w:p>
    <w:p w14:paraId="0010003E" w14:textId="0010003F">
      <w:pPr>
        <w:numPr>
          <w:ilvl w:val="0"/>
          <w:numId w:val="1"/>
        </w:numPr>
        <w:spacing w:after="240"/>
      </w:pPr>
      <w:r>
        <w:rPr>
          <w:sz w:val="22"/>
        </w:rPr>
        <w:t xml:space="preserve">Action 5 — Ad Spend Optimisation: Allocate 30% additional advertising budget to Set and Kurta SKUs in Tier-1 states. Reduce marketing spend on underperforming sizes (5XL, 6XL).</w:t>
      </w:r>
    </w:p>
    <w:p w14:paraId="00100040" w14:textId="00100041">
      <w:pPr>
        <w:pStyle w:val="Heading1"/>
        <w:spacing w:before="280" w:after="160"/>
      </w:pPr>
      <w:r>
        <w:rPr>
          <w:b/>
          <w:sz w:val="36"/>
        </w:rPr>
        <w:t xml:space="preserve">4. Risk Analysis</w:t>
      </w:r>
    </w:p>
    <w:p w14:paraId="00100042" w14:textId="00100043">
      <w:pPr>
        <w:spacing w:after="80"/>
      </w:pPr>
      <w:r>
        <w:rPr>
          <w:b/>
          <w:sz w:val="22"/>
        </w:rPr>
        <w:t xml:space="preserve">Risk | Likelihood | Impact | Mitigation Strategy</w:t>
      </w:r>
    </w:p>
    <w:p w14:paraId="00100044" w14:textId="00100045">
      <w:pPr>
        <w:spacing w:after="80"/>
      </w:pPr>
      <w:r>
        <w:rPr>
          <w:sz w:val="22"/>
        </w:rPr>
        <w:t xml:space="preserve">High cancellation rate continues | High | High | Deploy ML predictor; confirm orders pre-dispatch via SMS/email</w:t>
      </w:r>
    </w:p>
    <w:p w14:paraId="00100046" w14:textId="00100047">
      <w:pPr>
        <w:spacing w:after="80"/>
      </w:pPr>
      <w:r>
        <w:rPr>
          <w:sz w:val="22"/>
        </w:rPr>
        <w:t xml:space="preserve">Revenue concentration in 2 categories | Medium | High | Diversify catalogue; test new categories (ethnic wear, co-ords)</w:t>
      </w:r>
    </w:p>
    <w:p w14:paraId="00100048" w14:textId="00100049">
      <w:pPr>
        <w:spacing w:after="80"/>
      </w:pPr>
      <w:r>
        <w:rPr>
          <w:sz w:val="22"/>
        </w:rPr>
        <w:t xml:space="preserve">Geographic revenue dependency | Medium | Medium | Execute Tier-2 state expansion for Set/Kurta; state-specific promotions</w:t>
      </w:r>
    </w:p>
    <w:p w14:paraId="0010004A" w14:textId="0010004B">
      <w:pPr>
        <w:spacing w:after="80"/>
      </w:pPr>
      <w:r>
        <w:rPr>
          <w:sz w:val="22"/>
        </w:rPr>
        <w:t xml:space="preserve">Merchant fulfilment underperformance | High | Medium | Merchant-to-FBA migration programme with fee incentives</w:t>
      </w:r>
    </w:p>
    <w:p w14:paraId="0010004C" w14:textId="0010004D">
      <w:pPr>
        <w:spacing w:after="240"/>
      </w:pPr>
      <w:r>
        <w:rPr>
          <w:sz w:val="22"/>
        </w:rPr>
        <w:t xml:space="preserve">ML model accuracy degradation | Low | Low | Retrain model monthly as new order data accumulates</w:t>
      </w:r>
    </w:p>
    <w:p w14:paraId="0010004E" w14:textId="0010004F">
      <w:pPr>
        <w:pStyle w:val="Heading1"/>
        <w:spacing w:before="280" w:after="160"/>
      </w:pPr>
      <w:r>
        <w:rPr>
          <w:b/>
          <w:sz w:val="36"/>
        </w:rPr>
        <w:t xml:space="preserve">5. Simulated Dashboard Output Descriptions</w:t>
      </w:r>
    </w:p>
    <w:p w14:paraId="00100050" w14:textId="00100051">
      <w:pPr>
        <w:numPr>
          <w:ilvl w:val="0"/>
          <w:numId w:val="2"/>
        </w:numPr>
        <w:spacing w:after="120"/>
      </w:pPr>
      <w:r>
        <w:rPr>
          <w:sz w:val="22"/>
        </w:rPr>
        <w:t xml:space="preserve">KPI Card Row: Six executive metric cards at the top of the dashboard — Total Revenue (Rs 7.15 Cr), Total Orders (128,975), Units Shipped (~100K+), Average Order Value (Rs 554), Estimated Profit (Rs 1.57 Cr), and Month-over-Month Growth %.</w:t>
      </w:r>
    </w:p>
    <w:p w14:paraId="00100052" w14:textId="00100053">
      <w:pPr>
        <w:numPr>
          <w:ilvl w:val="0"/>
          <w:numId w:val="2"/>
        </w:numPr>
        <w:spacing w:after="120"/>
      </w:pPr>
      <w:r>
        <w:rPr>
          <w:sz w:val="22"/>
        </w:rPr>
        <w:t xml:space="preserve">Revenue &amp; Order Trend Chart: Dual-axis chart combining monthly revenue bars (blue) and order count line (purple). Peak sales in May 2022 with slight tapering in June.</w:t>
      </w:r>
    </w:p>
    <w:p w14:paraId="00100054" w14:textId="00100055">
      <w:pPr>
        <w:numPr>
          <w:ilvl w:val="0"/>
          <w:numId w:val="2"/>
        </w:numPr>
        <w:spacing w:after="120"/>
      </w:pPr>
      <w:r>
        <w:rPr>
          <w:sz w:val="22"/>
        </w:rPr>
        <w:t xml:space="preserve">Revenue by Category: Horizontal bar showing Set (Rs 2.1 Cr) and Kurta (Rs 1.6 Cr) leading by substantial margin. Western Dress, Top, and Blouse follow at lower levels.</w:t>
      </w:r>
    </w:p>
    <w:p w14:paraId="00100056" w14:textId="00100057">
      <w:pPr>
        <w:numPr>
          <w:ilvl w:val="0"/>
          <w:numId w:val="2"/>
        </w:numPr>
        <w:spacing w:after="120"/>
      </w:pPr>
      <w:r>
        <w:rPr>
          <w:sz w:val="22"/>
        </w:rPr>
        <w:t xml:space="preserve">Top 15 States by Revenue: Maharashtra, Karnataka, and Uttar Pradesh form a clear top tier. Telangana and Tamil Nadu are notable mid-tier performers.</w:t>
      </w:r>
    </w:p>
    <w:p w14:paraId="00100058" w14:textId="00100059">
      <w:pPr>
        <w:numPr>
          <w:ilvl w:val="0"/>
          <w:numId w:val="2"/>
        </w:numPr>
        <w:spacing w:after="120"/>
      </w:pPr>
      <w:r>
        <w:rPr>
          <w:sz w:val="22"/>
        </w:rPr>
        <w:t xml:space="preserve">Order Status Donut: Shipped/Delivered orders (~72%) dominate. Cancelled orders occupy a significant ~28% slice, visually emphasising the operational leakage risk.</w:t>
      </w:r>
    </w:p>
    <w:p w14:paraId="0010005A" w14:textId="0010005B">
      <w:pPr>
        <w:numPr>
          <w:ilvl w:val="0"/>
          <w:numId w:val="2"/>
        </w:numPr>
        <w:spacing w:after="240"/>
      </w:pPr>
      <w:r>
        <w:rPr>
          <w:sz w:val="22"/>
        </w:rPr>
        <w:t xml:space="preserve">ML Model Panel: Random Forest Classifier achieves ~83-87% accuracy. Top feature importances: Fulfilment Channel, Category, and Qty. Strong precision for the Shipped class.</w:t>
      </w:r>
    </w:p>
    <w:p w14:paraId="0010005C" w14:textId="0010005D">
      <w:pPr>
        <w:pStyle w:val="Heading1"/>
        <w:spacing w:before="280" w:after="160"/>
      </w:pPr>
      <w:r>
        <w:rPr>
          <w:b/>
          <w:sz w:val="36"/>
        </w:rPr>
        <w:t xml:space="preserve">6. Technology Stack</w:t>
      </w:r>
    </w:p>
    <w:p w14:paraId="0010005E" w14:textId="0010005F">
      <w:pPr>
        <w:spacing w:after="80"/>
      </w:pPr>
      <w:r>
        <w:rPr>
          <w:b/>
          <w:sz w:val="22"/>
        </w:rPr>
        <w:t xml:space="preserve">Technology | Version | Purpose</w:t>
      </w:r>
    </w:p>
    <w:p w14:paraId="00100060" w14:textId="00100061">
      <w:pPr>
        <w:spacing w:after="80"/>
      </w:pPr>
      <w:r>
        <w:rPr>
          <w:sz w:val="22"/>
        </w:rPr>
        <w:t xml:space="preserve">Python | 3.10+ | Core programming language</w:t>
      </w:r>
    </w:p>
    <w:p w14:paraId="00100062" w14:textId="00100063">
      <w:pPr>
        <w:spacing w:after="80"/>
      </w:pPr>
      <w:r>
        <w:rPr>
          <w:sz w:val="22"/>
        </w:rPr>
        <w:t xml:space="preserve">Streamlit | 1.35.0 | Interactive web dashboard framework</w:t>
      </w:r>
    </w:p>
    <w:p w14:paraId="00100064" w14:textId="00100065">
      <w:pPr>
        <w:spacing w:after="80"/>
      </w:pPr>
      <w:r>
        <w:rPr>
          <w:sz w:val="22"/>
        </w:rPr>
        <w:t xml:space="preserve">Pandas | 2.2.2 | Data loading, cleaning, and aggregation</w:t>
      </w:r>
    </w:p>
    <w:p w14:paraId="00100066" w14:textId="00100067">
      <w:pPr>
        <w:spacing w:after="80"/>
      </w:pPr>
      <w:r>
        <w:rPr>
          <w:sz w:val="22"/>
        </w:rPr>
        <w:t xml:space="preserve">Plotly | 5.22.0 | Interactive charting and visualisation</w:t>
      </w:r>
    </w:p>
    <w:p w14:paraId="00100068" w14:textId="00100069">
      <w:pPr>
        <w:spacing w:after="80"/>
      </w:pPr>
      <w:r>
        <w:rPr>
          <w:sz w:val="22"/>
        </w:rPr>
        <w:t xml:space="preserve">Scikit-learn | 1.4.2 | Random Forest ML model training and evaluation</w:t>
      </w:r>
    </w:p>
    <w:p w14:paraId="0010006A" w14:textId="0010006B">
      <w:pPr>
        <w:spacing w:after="240"/>
      </w:pPr>
      <w:r>
        <w:rPr>
          <w:sz w:val="22"/>
        </w:rPr>
        <w:t xml:space="preserve">openpyxl | 3.1.2 | Excel file support</w:t>
      </w:r>
    </w:p>
    <w:p w14:paraId="0010006C" w14:textId="0010006D">
      <w:pPr>
        <w:pStyle w:val="Heading1"/>
        <w:spacing w:before="280" w:after="160"/>
      </w:pPr>
      <w:r>
        <w:rPr>
          <w:b/>
          <w:sz w:val="36"/>
        </w:rPr>
        <w:t xml:space="preserve">7. Dataset Reference</w:t>
      </w:r>
    </w:p>
    <w:p w14:paraId="0010006E" w14:textId="0010006F">
      <w:pPr>
        <w:spacing w:after="80"/>
      </w:pPr>
      <w:r>
        <w:rPr>
          <w:b w:val="false"/>
          <w:sz w:val="22"/>
        </w:rPr>
        <w:t xml:space="preserve">Dataset Name: Amazon Sale Report</w:t>
      </w:r>
    </w:p>
    <w:p w14:paraId="00100070" w14:textId="00100071">
      <w:pPr>
        <w:spacing w:after="80"/>
      </w:pPr>
      <w:r>
        <w:rPr>
          <w:sz w:val="22"/>
        </w:rPr>
        <w:t xml:space="preserve">Source Platform: Kaggle</w:t>
      </w:r>
    </w:p>
    <w:p w14:paraId="00100072" w14:textId="00100073">
      <w:pPr>
        <w:spacing w:after="80"/>
      </w:pPr>
      <w:r>
        <w:rPr>
          <w:sz w:val="22"/>
        </w:rPr>
        <w:t xml:space="preserve">Dataset URL: https://www.kaggle.com/datasets/thedevastator/unlock-profits-with-e-commerce-sales-data</w:t>
      </w:r>
    </w:p>
    <w:p w14:paraId="00100074" w14:textId="00100075">
      <w:pPr>
        <w:spacing w:after="80"/>
      </w:pPr>
      <w:r>
        <w:rPr>
          <w:sz w:val="22"/>
        </w:rPr>
        <w:t xml:space="preserve">Records: ~128,975 rows | Columns: 24 | Currency: INR | Period: April-June 2022</w:t>
      </w:r>
    </w:p>
    <w:p w14:paraId="00100076" w14:textId="00100077">
      <w:pPr>
        <w:spacing w:after="320"/>
      </w:pPr>
      <w:r>
        <w:rPr>
          <w:color w:val="57606A"/>
          <w:sz w:val="22"/>
        </w:rPr>
        <w:t xml:space="preserve">Licence: Kaggle dataset licence as specified by the dataset publisher. Used here solely for academic and internship purposes under the AICTE IBM SkillBuild Data Analytics Internship programme.</w:t>
      </w:r>
    </w:p>
    <w:p w14:paraId="00100078" w14:textId="00100079">
      <w:pPr>
        <w:spacing w:before="240"/>
        <w:jc w:val="center"/>
      </w:pPr>
      <w:r>
        <w:rPr>
          <w:color w:val="57606A"/>
          <w:sz w:val="20"/>
        </w:rPr>
        <w:t xml:space="preserve">Prepared by Swastik Shaw | AICTE IBM SkillBuild Data Analytics Internship | Made with IBM SkillBuild</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a455f66aaad54cca" /><Relationship Type="http://schemas.openxmlformats.org/officeDocument/2006/relationships/styles" Target="/word/styles.xml" Id="R155ba49b8ac64c7d" /><Relationship Type="http://schemas.openxmlformats.org/officeDocument/2006/relationships/theme" Target="/word/theme/theme1.xml" Id="Rf959569aa9f54d6a" /><Relationship Type="http://schemas.openxmlformats.org/officeDocument/2006/relationships/numbering" Target="/word/numbering.xml" Id="R2d9049f5a61f4f0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2026-09-23T14:06:55Z</dcterms:created>
  <cp:lastModifiedBy>OfficeCLI</cp:lastModifiedBy>
  <dcterms:modified xsi:type="dcterms:W3CDTF">2026-09-23T14:06:55Z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2026-09-23T14:08:54Z</vt:lpwstr>
  </op:property>
</op:Properties>
</file>