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D6B4E" w:val="clear"/>
        <w:spacing w:before="0" w:after="0"/>
        <w:jc w:val="center"/>
      </w:pPr>
      <w:r>
        <w:rPr>
          <w:rFonts w:ascii="Arial" w:cs="Arial" w:eastAsia="Arial" w:hAnsi="Arial"/>
          <w:b/>
          <w:bCs/>
          <w:color w:val="FFFFFF"/>
          <w:sz w:val="44"/>
          <w:szCs w:val="44"/>
        </w:rPr>
        <w:t xml:space="preserve">PROBLEM STATEMENT</w:t>
      </w:r>
    </w:p>
    <w:p>
      <w:pPr>
        <w:shd w:fill="0F4D2E" w:val="clear"/>
        <w:spacing w:before="0" w:after="80"/>
        <w:jc w:val="center"/>
      </w:pPr>
      <w:r>
        <w:rPr>
          <w:rFonts w:ascii="Arial" w:cs="Arial" w:eastAsia="Arial" w:hAnsi="Arial"/>
          <w:b/>
          <w:bCs/>
          <w:color w:val="FFFFFF"/>
          <w:sz w:val="26"/>
          <w:szCs w:val="26"/>
        </w:rPr>
        <w:t xml:space="preserve">Future of Assembly for New Energy Vehicles/Systems: EV &amp; Hydrogen Systems</w:t>
      </w:r>
    </w:p>
    <w:p>
      <w:pPr>
        <w:spacing w:before="200" w:after="400"/>
        <w:jc w:val="center"/>
      </w:pPr>
      <w:r>
        <w:rPr>
          <w:rFonts w:ascii="Arial" w:cs="Arial" w:eastAsia="Arial" w:hAnsi="Arial"/>
          <w:color w:val="185FA5"/>
          <w:sz w:val="24"/>
          <w:szCs w:val="24"/>
        </w:rPr>
        <w:t xml:space="preserve">Defect Prediction &amp; Quality Assurance in Battery Pack Assembly Lines</w:t>
      </w:r>
    </w:p>
    <w:p>
      <w:pPr>
        <w:pStyle w:val="Heading1"/>
        <w:pBdr>
          <w:bottom w:val="single" w:color="1D6B4E" w:sz="4" w:space="4"/>
        </w:pBdr>
        <w:spacing w:before="360" w:after="160"/>
      </w:pPr>
      <w:r>
        <w:rPr>
          <w:rFonts w:ascii="Arial" w:cs="Arial" w:eastAsia="Arial" w:hAnsi="Arial"/>
          <w:b/>
          <w:bCs/>
          <w:color w:val="1D6B4E"/>
          <w:sz w:val="30"/>
          <w:szCs w:val="30"/>
        </w:rPr>
        <w:t xml:space="preserve">1. Problem Statement</w:t>
      </w:r>
    </w:p>
    <w:p>
      <w:pPr>
        <w:pStyle w:val="Heading2"/>
        <w:spacing w:before="240" w:after="100"/>
      </w:pPr>
      <w:r>
        <w:rPr>
          <w:rFonts w:ascii="Arial" w:cs="Arial" w:eastAsia="Arial" w:hAnsi="Arial"/>
          <w:b/>
          <w:bCs/>
          <w:color w:val="185FA5"/>
          <w:sz w:val="24"/>
          <w:szCs w:val="24"/>
        </w:rPr>
        <w:t xml:space="preserve">1.1 Core Problem Definition</w:t>
      </w:r>
    </w:p>
    <w:p>
      <w:pPr>
        <w:spacing w:before="60" w:after="80"/>
        <w:jc w:val="both"/>
      </w:pPr>
      <w:r>
        <w:rPr>
          <w:rFonts w:ascii="Arial" w:cs="Arial" w:eastAsia="Arial" w:hAnsi="Arial"/>
          <w:sz w:val="22"/>
          <w:szCs w:val="22"/>
        </w:rPr>
        <w:t xml:space="preserve">Electric vehicle (EV) battery pack assembly and hydrogen fuel cell stack manufacturing are among the most complex, precision-critical industrial processes in modern manufacturing. A battery pack for a typical EV contains thousands of cells, hundreds of welds, multiple thermal management components, and an integrated Battery Management System (BMS). The assembly process spans 6–10 sequential stations, each introducing potential failure points.</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Currently, global EV manufacturers face a critical and costly challenge: an estimated 15–25% of battery packs that pass initial end-of-line inspection fail in-field within 12 months of deployment. These failures lead to vehicle recalls, warranty claims, safety incidents including thermal runaway, and severe reputational damage.</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Despite significant investments in manufacturing technology, no scalable, real-time intelligent defect prediction system exists that bridges the gap between academic machine learning theory and practical factory-floor implementation. Sensor data from assembly equipment — torque guns, laser welders, vision systems, and thermal cameras — is collected but used only for post-hoc analysis, not predictive prevention.</w:t>
      </w:r>
    </w:p>
    <w:p>
      <w:pPr>
        <w:spacing w:before="60" w:after="80"/>
        <w:jc w:val="both"/>
      </w:pPr>
      <w:r>
        <w:rPr>
          <w:rFonts w:ascii="Arial" w:cs="Arial" w:eastAsia="Arial" w:hAnsi="Arial"/>
          <w:sz w:val="22"/>
          <w:szCs w:val="22"/>
        </w:rPr>
        <w:t xml:space="preserve"/>
      </w:r>
    </w:p>
    <w:p>
      <w:pPr>
        <w:pStyle w:val="Heading2"/>
        <w:spacing w:before="240" w:after="100"/>
      </w:pPr>
      <w:r>
        <w:rPr>
          <w:rFonts w:ascii="Arial" w:cs="Arial" w:eastAsia="Arial" w:hAnsi="Arial"/>
          <w:b/>
          <w:bCs/>
          <w:color w:val="185FA5"/>
          <w:sz w:val="24"/>
          <w:szCs w:val="24"/>
        </w:rPr>
        <w:t xml:space="preserve">1.2 Why This Problem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6B4E" w:val="clear"/>
            <w:tcMar>
              <w:top w:type="dxa" w:w="100"/>
              <w:left w:type="dxa" w:w="150"/>
              <w:bottom w:type="dxa" w:w="100"/>
              <w:right w:type="dxa" w:w="15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D6B4E" w:val="clear"/>
            <w:tcMar>
              <w:top w:type="dxa" w:w="100"/>
              <w:left w:type="dxa" w:w="150"/>
              <w:bottom w:type="dxa" w:w="100"/>
              <w:right w:type="dxa" w:w="150"/>
            </w:tcMar>
          </w:tcPr>
          <w:p>
            <w:r>
              <w:rPr>
                <w:rFonts w:ascii="Arial" w:cs="Arial" w:eastAsia="Arial" w:hAnsi="Arial"/>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Safety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Thermal runaway from undetected defects causes fires, injuries, and vehicle losses. UN ECE R100 and ISO 26262 mandate rigorous quality standards.</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Economic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Global EV recall costs exceeded $2.4 billion in 2023 alone. Each defective pack rework costs $800–$2,000 in labor and materials.</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Environmental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Each scrapped battery pack wastes approximately 12 kg of lithium, 8 kg of cobalt, and 15 kg of nickel — critical rare materials.</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Industry Barrier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Without reliable quality assurance, consumer confidence in EVs and hydrogen vehicles erodes, slowing the clean energy transition.</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Academic Gap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Published ML models achieve 95%+ accuracy in controlled lab settings but fail to transfer to noisy, high-throughput factory environments.</w:t>
            </w:r>
          </w:p>
        </w:tc>
      </w:tr>
    </w:tbl>
    <w:p>
      <w:pPr>
        <w:spacing w:before="60" w:after="80"/>
        <w:jc w:val="both"/>
      </w:pPr>
      <w:r>
        <w:rPr>
          <w:rFonts w:ascii="Arial" w:cs="Arial" w:eastAsia="Arial" w:hAnsi="Arial"/>
          <w:sz w:val="22"/>
          <w:szCs w:val="22"/>
        </w:rPr>
        <w:t xml:space="preserve"/>
      </w:r>
    </w:p>
    <w:p>
      <w:pPr>
        <w:pStyle w:val="Heading2"/>
        <w:spacing w:before="240" w:after="100"/>
      </w:pPr>
      <w:r>
        <w:rPr>
          <w:rFonts w:ascii="Arial" w:cs="Arial" w:eastAsia="Arial" w:hAnsi="Arial"/>
          <w:b/>
          <w:bCs/>
          <w:color w:val="185FA5"/>
          <w:sz w:val="24"/>
          <w:szCs w:val="24"/>
        </w:rPr>
        <w:t xml:space="preserve">1.3 Stakeholders Affected</w:t>
      </w:r>
    </w:p>
    <w:p>
      <w:pPr>
        <w:pStyle w:val="ListParagraph"/>
        <w:numPr>
          <w:ilvl w:val="0"/>
          <w:numId w:val="2"/>
        </w:numPr>
        <w:spacing w:before="40" w:after="60"/>
      </w:pPr>
      <w:r>
        <w:rPr>
          <w:rFonts w:ascii="Arial" w:cs="Arial" w:eastAsia="Arial" w:hAnsi="Arial"/>
          <w:sz w:val="22"/>
          <w:szCs w:val="22"/>
        </w:rPr>
        <w:t xml:space="preserve">OEM Manufacturers (Tesla, BYD, Toyota, Hyundai): Direct financial impact from recalls and warranty costs</w:t>
      </w:r>
    </w:p>
    <w:p>
      <w:pPr>
        <w:pStyle w:val="ListParagraph"/>
        <w:numPr>
          <w:ilvl w:val="0"/>
          <w:numId w:val="2"/>
        </w:numPr>
        <w:spacing w:before="40" w:after="60"/>
      </w:pPr>
      <w:r>
        <w:rPr>
          <w:rFonts w:ascii="Arial" w:cs="Arial" w:eastAsia="Arial" w:hAnsi="Arial"/>
          <w:sz w:val="22"/>
          <w:szCs w:val="22"/>
        </w:rPr>
        <w:t xml:space="preserve">Assembly Line Operators and Quality Engineers: Need actionable, real-time feedback — not post-hoc reports</w:t>
      </w:r>
    </w:p>
    <w:p>
      <w:pPr>
        <w:pStyle w:val="ListParagraph"/>
        <w:numPr>
          <w:ilvl w:val="0"/>
          <w:numId w:val="2"/>
        </w:numPr>
        <w:spacing w:before="40" w:after="60"/>
      </w:pPr>
      <w:r>
        <w:rPr>
          <w:rFonts w:ascii="Arial" w:cs="Arial" w:eastAsia="Arial" w:hAnsi="Arial"/>
          <w:sz w:val="22"/>
          <w:szCs w:val="22"/>
        </w:rPr>
        <w:t xml:space="preserve">Battery Cell Suppliers (CATL, Panasonic, Samsung SDI): Supplier reputation linked to pack-level failures</w:t>
      </w:r>
    </w:p>
    <w:p>
      <w:pPr>
        <w:pStyle w:val="ListParagraph"/>
        <w:numPr>
          <w:ilvl w:val="0"/>
          <w:numId w:val="2"/>
        </w:numPr>
        <w:spacing w:before="40" w:after="60"/>
      </w:pPr>
      <w:r>
        <w:rPr>
          <w:rFonts w:ascii="Arial" w:cs="Arial" w:eastAsia="Arial" w:hAnsi="Arial"/>
          <w:sz w:val="22"/>
          <w:szCs w:val="22"/>
        </w:rPr>
        <w:t xml:space="preserve">EV Consumers: Safety and reliability directly affect life and property</w:t>
      </w:r>
    </w:p>
    <w:p>
      <w:pPr>
        <w:pStyle w:val="ListParagraph"/>
        <w:numPr>
          <w:ilvl w:val="0"/>
          <w:numId w:val="2"/>
        </w:numPr>
        <w:spacing w:before="40" w:after="60"/>
      </w:pPr>
      <w:r>
        <w:rPr>
          <w:rFonts w:ascii="Arial" w:cs="Arial" w:eastAsia="Arial" w:hAnsi="Arial"/>
          <w:sz w:val="22"/>
          <w:szCs w:val="22"/>
        </w:rPr>
        <w:t xml:space="preserve">Insurance Companies and Regulators: Liability, compliance, and policy implications</w:t>
      </w:r>
    </w:p>
    <w:p>
      <w:pPr>
        <w:pStyle w:val="ListParagraph"/>
        <w:numPr>
          <w:ilvl w:val="0"/>
          <w:numId w:val="2"/>
        </w:numPr>
        <w:spacing w:before="40" w:after="60"/>
      </w:pPr>
      <w:r>
        <w:rPr>
          <w:rFonts w:ascii="Arial" w:cs="Arial" w:eastAsia="Arial" w:hAnsi="Arial"/>
          <w:sz w:val="22"/>
          <w:szCs w:val="22"/>
        </w:rPr>
        <w:t xml:space="preserve">Environmental Agencies: Material waste and resource efficiency concerns</w:t>
      </w:r>
    </w:p>
    <w:p>
      <w:pPr>
        <w:spacing w:before="60" w:after="80"/>
        <w:jc w:val="both"/>
      </w:pPr>
      <w:r>
        <w:rPr>
          <w:rFonts w:ascii="Arial" w:cs="Arial" w:eastAsia="Arial" w:hAnsi="Arial"/>
          <w:sz w:val="22"/>
          <w:szCs w:val="22"/>
        </w:rPr>
        <w:t xml:space="preserve"/>
      </w:r>
    </w:p>
    <w:p>
      <w:pPr>
        <w:pStyle w:val="Heading2"/>
        <w:spacing w:before="240" w:after="100"/>
      </w:pPr>
      <w:r>
        <w:rPr>
          <w:rFonts w:ascii="Arial" w:cs="Arial" w:eastAsia="Arial" w:hAnsi="Arial"/>
          <w:b/>
          <w:bCs/>
          <w:color w:val="185FA5"/>
          <w:sz w:val="24"/>
          <w:szCs w:val="24"/>
        </w:rPr>
        <w:t xml:space="preserve">1.4 Current Challenges and Gaps</w:t>
      </w:r>
    </w:p>
    <w:p>
      <w:pPr>
        <w:pStyle w:val="ListParagraph"/>
        <w:numPr>
          <w:ilvl w:val="0"/>
          <w:numId w:val="2"/>
        </w:numPr>
        <w:spacing w:before="40" w:after="60"/>
      </w:pPr>
      <w:r>
        <w:rPr>
          <w:rFonts w:ascii="Arial" w:cs="Arial" w:eastAsia="Arial" w:hAnsi="Arial"/>
          <w:sz w:val="22"/>
          <w:szCs w:val="22"/>
        </w:rPr>
        <w:t xml:space="preserve">Manual inspection is slow, subjective, and cannot detect micro-level defects (weld porosity, cell voltage mismatches) at production line speed of 45–90 packs/hour</w:t>
      </w:r>
    </w:p>
    <w:p>
      <w:pPr>
        <w:pStyle w:val="ListParagraph"/>
        <w:numPr>
          <w:ilvl w:val="0"/>
          <w:numId w:val="2"/>
        </w:numPr>
        <w:spacing w:before="40" w:after="60"/>
      </w:pPr>
      <w:r>
        <w:rPr>
          <w:rFonts w:ascii="Arial" w:cs="Arial" w:eastAsia="Arial" w:hAnsi="Arial"/>
          <w:sz w:val="22"/>
          <w:szCs w:val="22"/>
        </w:rPr>
        <w:t xml:space="preserve">Sensor data from 8–12 parameters per station is logged but not used for real-time prediction — massive untapped value</w:t>
      </w:r>
    </w:p>
    <w:p>
      <w:pPr>
        <w:pStyle w:val="ListParagraph"/>
        <w:numPr>
          <w:ilvl w:val="0"/>
          <w:numId w:val="2"/>
        </w:numPr>
        <w:spacing w:before="40" w:after="60"/>
      </w:pPr>
      <w:r>
        <w:rPr>
          <w:rFonts w:ascii="Arial" w:cs="Arial" w:eastAsia="Arial" w:hAnsi="Arial"/>
          <w:sz w:val="22"/>
          <w:szCs w:val="22"/>
        </w:rPr>
        <w:t xml:space="preserve">No feedback loop exists between downstream failure data and upstream assembly parameters</w:t>
      </w:r>
    </w:p>
    <w:p>
      <w:pPr>
        <w:pStyle w:val="ListParagraph"/>
        <w:numPr>
          <w:ilvl w:val="0"/>
          <w:numId w:val="2"/>
        </w:numPr>
        <w:spacing w:before="40" w:after="60"/>
      </w:pPr>
      <w:r>
        <w:rPr>
          <w:rFonts w:ascii="Arial" w:cs="Arial" w:eastAsia="Arial" w:hAnsi="Arial"/>
          <w:sz w:val="22"/>
          <w:szCs w:val="22"/>
        </w:rPr>
        <w:t xml:space="preserve">Existing academic models are trained on clean, balanced datasets — real factory data is noisy, imbalanced (78:22 pass/defect), and high-dimensional</w:t>
      </w:r>
    </w:p>
    <w:p>
      <w:pPr>
        <w:pStyle w:val="ListParagraph"/>
        <w:numPr>
          <w:ilvl w:val="0"/>
          <w:numId w:val="2"/>
        </w:numPr>
        <w:spacing w:before="40" w:after="60"/>
      </w:pPr>
      <w:r>
        <w:rPr>
          <w:rFonts w:ascii="Arial" w:cs="Arial" w:eastAsia="Arial" w:hAnsi="Arial"/>
          <w:sz w:val="22"/>
          <w:szCs w:val="22"/>
        </w:rPr>
        <w:t xml:space="preserve">Hydrogen fuel cell membrane compression defects are particularly difficult to detect — current methods miss 60–70% of FC stack issues</w:t>
      </w:r>
    </w:p>
    <w:p>
      <w:pPr>
        <w:spacing w:before="60" w:after="80"/>
        <w:jc w:val="both"/>
      </w:pPr>
      <w:r>
        <w:rPr>
          <w:rFonts w:ascii="Arial" w:cs="Arial" w:eastAsia="Arial" w:hAnsi="Arial"/>
          <w:sz w:val="22"/>
          <w:szCs w:val="22"/>
        </w:rPr>
        <w:t xml:space="preserve"/>
      </w:r>
    </w:p>
    <w:p>
      <w:pPr>
        <w:pStyle w:val="Heading1"/>
        <w:pBdr>
          <w:bottom w:val="single" w:color="1D6B4E" w:sz="4" w:space="4"/>
        </w:pBdr>
        <w:spacing w:before="360" w:after="160"/>
      </w:pPr>
      <w:r>
        <w:rPr>
          <w:rFonts w:ascii="Arial" w:cs="Arial" w:eastAsia="Arial" w:hAnsi="Arial"/>
          <w:b/>
          <w:bCs/>
          <w:color w:val="1D6B4E"/>
          <w:sz w:val="30"/>
          <w:szCs w:val="30"/>
        </w:rPr>
        <w:t xml:space="preserve">2. Root Cause Analysis</w:t>
      </w:r>
    </w:p>
    <w:p>
      <w:pPr>
        <w:pStyle w:val="Heading2"/>
        <w:spacing w:before="240" w:after="100"/>
      </w:pPr>
      <w:r>
        <w:rPr>
          <w:rFonts w:ascii="Arial" w:cs="Arial" w:eastAsia="Arial" w:hAnsi="Arial"/>
          <w:b/>
          <w:bCs/>
          <w:color w:val="185FA5"/>
          <w:sz w:val="24"/>
          <w:szCs w:val="24"/>
        </w:rPr>
        <w:t xml:space="preserve">2.1 Primary Root Causes</w:t>
      </w:r>
    </w:p>
    <w:p>
      <w:pPr>
        <w:pStyle w:val="ListParagraph"/>
        <w:numPr>
          <w:ilvl w:val="0"/>
          <w:numId w:val="2"/>
        </w:numPr>
        <w:spacing w:before="40" w:after="60"/>
      </w:pPr>
      <w:r>
        <w:rPr>
          <w:rFonts w:ascii="Arial" w:cs="Arial" w:eastAsia="Arial" w:hAnsi="Arial"/>
          <w:b/>
          <w:bCs/>
          <w:sz w:val="22"/>
          <w:szCs w:val="22"/>
        </w:rPr>
        <w:t xml:space="preserve">R1 </w:t>
      </w:r>
      <w:r>
        <w:rPr>
          <w:rFonts w:ascii="Arial" w:cs="Arial" w:eastAsia="Arial" w:hAnsi="Arial"/>
          <w:sz w:val="22"/>
          <w:szCs w:val="22"/>
        </w:rPr>
        <w:t xml:space="preserve">Sensor Data Unutilized Predictively: Assembly equipment generates 13+ sensor streams per pack but data is archived, not analyzed in real time. The core cause of late detection.</w:t>
      </w:r>
    </w:p>
    <w:p>
      <w:pPr>
        <w:pStyle w:val="ListParagraph"/>
        <w:numPr>
          <w:ilvl w:val="0"/>
          <w:numId w:val="2"/>
        </w:numPr>
        <w:spacing w:before="40" w:after="60"/>
      </w:pPr>
      <w:r>
        <w:rPr>
          <w:rFonts w:ascii="Arial" w:cs="Arial" w:eastAsia="Arial" w:hAnsi="Arial"/>
          <w:b/>
          <w:bCs/>
          <w:sz w:val="22"/>
          <w:szCs w:val="22"/>
        </w:rPr>
        <w:t xml:space="preserve">R2 </w:t>
      </w:r>
      <w:r>
        <w:rPr>
          <w:rFonts w:ascii="Arial" w:cs="Arial" w:eastAsia="Arial" w:hAnsi="Arial"/>
          <w:sz w:val="22"/>
          <w:szCs w:val="22"/>
        </w:rPr>
        <w:t xml:space="preserve">Manual Inspection Limitations: Human inspectors miss micro-scale defects at line speed. Visual inspection has a false-negative rate of 35–45% for sub-surface weld defects.</w:t>
      </w:r>
    </w:p>
    <w:p>
      <w:pPr>
        <w:pStyle w:val="ListParagraph"/>
        <w:numPr>
          <w:ilvl w:val="0"/>
          <w:numId w:val="2"/>
        </w:numPr>
        <w:spacing w:before="40" w:after="60"/>
      </w:pPr>
      <w:r>
        <w:rPr>
          <w:rFonts w:ascii="Arial" w:cs="Arial" w:eastAsia="Arial" w:hAnsi="Arial"/>
          <w:b/>
          <w:bCs/>
          <w:sz w:val="22"/>
          <w:szCs w:val="22"/>
        </w:rPr>
        <w:t xml:space="preserve">R3 </w:t>
      </w:r>
      <w:r>
        <w:rPr>
          <w:rFonts w:ascii="Arial" w:cs="Arial" w:eastAsia="Arial" w:hAnsi="Arial"/>
          <w:sz w:val="22"/>
          <w:szCs w:val="22"/>
        </w:rPr>
        <w:t xml:space="preserve">Cell Voltage Variance Propagation: During cell stacking, small voltage mismatches between cells are undetectable by current pass/fail thresholds but compound over 500+ charge cycles into catastrophic failures.</w:t>
      </w:r>
    </w:p>
    <w:p>
      <w:pPr>
        <w:pStyle w:val="ListParagraph"/>
        <w:numPr>
          <w:ilvl w:val="0"/>
          <w:numId w:val="2"/>
        </w:numPr>
        <w:spacing w:before="40" w:after="60"/>
      </w:pPr>
      <w:r>
        <w:rPr>
          <w:rFonts w:ascii="Arial" w:cs="Arial" w:eastAsia="Arial" w:hAnsi="Arial"/>
          <w:b/>
          <w:bCs/>
          <w:sz w:val="22"/>
          <w:szCs w:val="22"/>
        </w:rPr>
        <w:t xml:space="preserve">R4 </w:t>
      </w:r>
      <w:r>
        <w:rPr>
          <w:rFonts w:ascii="Arial" w:cs="Arial" w:eastAsia="Arial" w:hAnsi="Arial"/>
          <w:sz w:val="22"/>
          <w:szCs w:val="22"/>
        </w:rPr>
        <w:t xml:space="preserve">Thermal Management Integration Errors: Improper adhesive application or thermal pad misalignment during assembly creates cold spots that lead to thermal runaway under high-discharge conditions.</w:t>
      </w:r>
    </w:p>
    <w:p>
      <w:pPr>
        <w:pStyle w:val="ListParagraph"/>
        <w:numPr>
          <w:ilvl w:val="0"/>
          <w:numId w:val="2"/>
        </w:numPr>
        <w:spacing w:before="40" w:after="60"/>
      </w:pPr>
      <w:r>
        <w:rPr>
          <w:rFonts w:ascii="Arial" w:cs="Arial" w:eastAsia="Arial" w:hAnsi="Arial"/>
          <w:b/>
          <w:bCs/>
          <w:sz w:val="22"/>
          <w:szCs w:val="22"/>
        </w:rPr>
        <w:t xml:space="preserve">R5 </w:t>
      </w:r>
      <w:r>
        <w:rPr>
          <w:rFonts w:ascii="Arial" w:cs="Arial" w:eastAsia="Arial" w:hAnsi="Arial"/>
          <w:sz w:val="22"/>
          <w:szCs w:val="22"/>
        </w:rPr>
        <w:t xml:space="preserve">Hydrogen FC Compression Sensitivity: Membrane Electrode Assembly (MEA) in fuel cell stacks requires compression force within ±0.3 kN tolerance — existing torque verification methods have ±0.8 kN accuracy.</w:t>
      </w:r>
    </w:p>
    <w:p>
      <w:pPr>
        <w:pStyle w:val="ListParagraph"/>
        <w:numPr>
          <w:ilvl w:val="0"/>
          <w:numId w:val="2"/>
        </w:numPr>
        <w:spacing w:before="40" w:after="60"/>
      </w:pPr>
      <w:r>
        <w:rPr>
          <w:rFonts w:ascii="Arial" w:cs="Arial" w:eastAsia="Arial" w:hAnsi="Arial"/>
          <w:b/>
          <w:bCs/>
          <w:sz w:val="22"/>
          <w:szCs w:val="22"/>
        </w:rPr>
        <w:t xml:space="preserve">R6 </w:t>
      </w:r>
      <w:r>
        <w:rPr>
          <w:rFonts w:ascii="Arial" w:cs="Arial" w:eastAsia="Arial" w:hAnsi="Arial"/>
          <w:sz w:val="22"/>
          <w:szCs w:val="22"/>
        </w:rPr>
        <w:t xml:space="preserve">Night Shift Fatigue Effect: Statistically significant 18% higher defect rate on night shifts — operator fatigue is a systemic, underacknowledged root cause.</w:t>
      </w:r>
    </w:p>
    <w:p>
      <w:pPr>
        <w:spacing w:before="60" w:after="80"/>
        <w:jc w:val="both"/>
      </w:pPr>
      <w:r>
        <w:rPr>
          <w:rFonts w:ascii="Arial" w:cs="Arial" w:eastAsia="Arial" w:hAnsi="Arial"/>
          <w:sz w:val="22"/>
          <w:szCs w:val="22"/>
        </w:rPr>
        <w:t xml:space="preserve"/>
      </w:r>
    </w:p>
    <w:p>
      <w:pPr>
        <w:pStyle w:val="Heading2"/>
        <w:spacing w:before="240" w:after="100"/>
      </w:pPr>
      <w:r>
        <w:rPr>
          <w:rFonts w:ascii="Arial" w:cs="Arial" w:eastAsia="Arial" w:hAnsi="Arial"/>
          <w:b/>
          <w:bCs/>
          <w:color w:val="185FA5"/>
          <w:sz w:val="24"/>
          <w:szCs w:val="24"/>
        </w:rPr>
        <w:t xml:space="preserve">2.2 Cause-Effect Chain</w:t>
      </w:r>
    </w:p>
    <w:p>
      <w:pPr>
        <w:spacing w:before="60" w:after="80"/>
        <w:jc w:val="both"/>
      </w:pPr>
      <w:r>
        <w:rPr>
          <w:rFonts w:ascii="Arial" w:cs="Arial" w:eastAsia="Arial" w:hAnsi="Arial"/>
          <w:sz w:val="22"/>
          <w:szCs w:val="22"/>
        </w:rPr>
        <w:t xml:space="preserve">No real-time ML system → Defects undetected at station level → Pack passes end-of-line inspection → Defect manifests in-field → Recall / safety incident → $2.4B annual industry cost</w:t>
      </w:r>
    </w:p>
    <w:p>
      <w:pPr>
        <w:spacing w:before="60" w:after="80"/>
        <w:jc w:val="both"/>
      </w:pPr>
      <w:r>
        <w:rPr>
          <w:rFonts w:ascii="Arial" w:cs="Arial" w:eastAsia="Arial" w:hAnsi="Arial"/>
          <w:sz w:val="22"/>
          <w:szCs w:val="22"/>
        </w:rPr>
        <w:t xml:space="preserve"/>
      </w:r>
    </w:p>
    <w:p>
      <w:pPr>
        <w:pStyle w:val="Heading1"/>
        <w:pBdr>
          <w:bottom w:val="single" w:color="1D6B4E" w:sz="4" w:space="4"/>
        </w:pBdr>
        <w:spacing w:before="360" w:after="160"/>
      </w:pPr>
      <w:r>
        <w:rPr>
          <w:rFonts w:ascii="Arial" w:cs="Arial" w:eastAsia="Arial" w:hAnsi="Arial"/>
          <w:b/>
          <w:bCs/>
          <w:color w:val="1D6B4E"/>
          <w:sz w:val="30"/>
          <w:szCs w:val="30"/>
        </w:rPr>
        <w:t xml:space="preserve">3. Objectives</w:t>
      </w:r>
    </w:p>
    <w:p>
      <w:pPr>
        <w:pStyle w:val="Heading2"/>
        <w:spacing w:before="240" w:after="100"/>
      </w:pPr>
      <w:r>
        <w:rPr>
          <w:rFonts w:ascii="Arial" w:cs="Arial" w:eastAsia="Arial" w:hAnsi="Arial"/>
          <w:b/>
          <w:bCs/>
          <w:color w:val="185FA5"/>
          <w:sz w:val="24"/>
          <w:szCs w:val="24"/>
        </w:rPr>
        <w:t xml:space="preserve">3.1 Measurable Objectives</w:t>
      </w:r>
    </w:p>
    <w:p>
      <w:pPr>
        <w:spacing w:before="60" w:after="80"/>
        <w:jc w:val="both"/>
      </w:pPr>
      <w:r>
        <w:rPr>
          <w:rFonts w:ascii="Arial" w:cs="Arial" w:eastAsia="Arial" w:hAnsi="Arial"/>
          <w:sz w:val="22"/>
          <w:szCs w:val="22"/>
        </w:rPr>
        <w:t xml:space="preserve">The following six objectives are SMART: Specific, Measurable, Achievable, Relevant, and Time-bound.</w:t>
      </w:r>
    </w:p>
    <w:p>
      <w:pPr>
        <w:spacing w:before="60" w:after="80"/>
        <w:jc w:val="both"/>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960"/>
        <w:gridCol w:w="1800"/>
      </w:tblGrid>
      <w:tr>
        <w:tc>
          <w:tcPr>
            <w:tcW w:type="dxa" w:w="600"/>
            <w:tcBorders>
              <w:top w:val="single" w:color="CCCCCC" w:sz="1"/>
              <w:left w:val="single" w:color="CCCCCC" w:sz="1"/>
              <w:bottom w:val="single" w:color="CCCCCC" w:sz="1"/>
              <w:right w:val="single" w:color="CCCCCC" w:sz="1"/>
            </w:tcBorders>
            <w:shd w:fill="1D6B4E"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D6B4E" w:val="clear"/>
            <w:tcMar>
              <w:top w:type="dxa" w:w="100"/>
              <w:left w:type="dxa" w:w="150"/>
              <w:bottom w:type="dxa" w:w="100"/>
              <w:right w:type="dxa" w:w="150"/>
            </w:tcMar>
          </w:tcPr>
          <w:p>
            <w:r>
              <w:rPr>
                <w:rFonts w:ascii="Arial" w:cs="Arial" w:eastAsia="Arial" w:hAnsi="Arial"/>
                <w:b/>
                <w:bCs/>
                <w:color w:val="FFFFFF"/>
                <w:sz w:val="20"/>
                <w:szCs w:val="20"/>
              </w:rPr>
              <w:t xml:space="preserve">Objective</w:t>
            </w:r>
          </w:p>
        </w:tc>
        <w:tc>
          <w:tcPr>
            <w:tcW w:type="dxa" w:w="4960"/>
            <w:tcBorders>
              <w:top w:val="single" w:color="CCCCCC" w:sz="1"/>
              <w:left w:val="single" w:color="CCCCCC" w:sz="1"/>
              <w:bottom w:val="single" w:color="CCCCCC" w:sz="1"/>
              <w:right w:val="single" w:color="CCCCCC" w:sz="1"/>
            </w:tcBorders>
            <w:shd w:fill="1D6B4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D6B4E" w:val="clear"/>
            <w:tcMar>
              <w:top w:type="dxa" w:w="100"/>
              <w:left w:type="dxa" w:w="150"/>
              <w:bottom w:type="dxa" w:w="100"/>
              <w:right w:type="dxa" w:w="150"/>
            </w:tcMar>
          </w:tcPr>
          <w:p>
            <w:r>
              <w:rPr>
                <w:rFonts w:ascii="Arial" w:cs="Arial" w:eastAsia="Arial" w:hAnsi="Arial"/>
                <w:b/>
                <w:bCs/>
                <w:color w:val="FFFFFF"/>
                <w:sz w:val="20"/>
                <w:szCs w:val="20"/>
              </w:rPr>
              <w:t xml:space="preserve">Target / KPI</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O1</w:t>
            </w:r>
          </w:p>
        </w:tc>
        <w:tc>
          <w:tcPr>
            <w:tcW w:type="dxa" w:w="2000"/>
            <w:tcBorders>
              <w:top w:val="single" w:color="CCCCCC" w:sz="1"/>
              <w:left w:val="single" w:color="CCCCCC" w:sz="1"/>
              <w:bottom w:val="single" w:color="CCCCCC" w:sz="1"/>
              <w:right w:val="single" w:color="CCCCCC" w:sz="1"/>
            </w:tcBorders>
            <w:shd w:fill="F5FAF7" w:val="clear"/>
            <w:tcMar>
              <w:top w:type="dxa" w:w="100"/>
              <w:left w:type="dxa" w:w="150"/>
              <w:bottom w:type="dxa" w:w="100"/>
              <w:right w:type="dxa" w:w="150"/>
            </w:tcMar>
          </w:tcPr>
          <w:p>
            <w:r>
              <w:rPr>
                <w:rFonts w:ascii="Arial" w:cs="Arial" w:eastAsia="Arial" w:hAnsi="Arial"/>
                <w:b/>
                <w:bCs/>
                <w:sz w:val="20"/>
                <w:szCs w:val="20"/>
              </w:rPr>
              <w:t xml:space="preserve">Reduce Field Failure Rate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Deploy predictive defect system to reduce in-field battery pack failure rate from 20% to under 5% within 18 months of deployment.</w:t>
            </w:r>
          </w:p>
        </w:tc>
        <w:tc>
          <w:tcPr>
            <w:tcW w:type="dxa" w:w="18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185FA5"/>
                <w:sz w:val="20"/>
                <w:szCs w:val="20"/>
              </w:rPr>
              <w:t xml:space="preserve">&lt; 5% failure rate</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O2</w:t>
            </w:r>
          </w:p>
        </w:tc>
        <w:tc>
          <w:tcPr>
            <w:tcW w:type="dxa" w:w="2000"/>
            <w:tcBorders>
              <w:top w:val="single" w:color="CCCCCC" w:sz="1"/>
              <w:left w:val="single" w:color="CCCCCC" w:sz="1"/>
              <w:bottom w:val="single" w:color="CCCCCC" w:sz="1"/>
              <w:right w:val="single" w:color="CCCCCC" w:sz="1"/>
            </w:tcBorders>
            <w:shd w:fill="F5FAF7" w:val="clear"/>
            <w:tcMar>
              <w:top w:type="dxa" w:w="100"/>
              <w:left w:type="dxa" w:w="150"/>
              <w:bottom w:type="dxa" w:w="100"/>
              <w:right w:type="dxa" w:w="150"/>
            </w:tcMar>
          </w:tcPr>
          <w:p>
            <w:r>
              <w:rPr>
                <w:rFonts w:ascii="Arial" w:cs="Arial" w:eastAsia="Arial" w:hAnsi="Arial"/>
                <w:b/>
                <w:bCs/>
                <w:sz w:val="20"/>
                <w:szCs w:val="20"/>
              </w:rPr>
              <w:t xml:space="preserve">ML Prediction Accuracy</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Achieve ≥ 92% defect prediction accuracy on test data using XGBoost classifier trained on 13 assembly sensor features.</w:t>
            </w:r>
          </w:p>
        </w:tc>
        <w:tc>
          <w:tcPr>
            <w:tcW w:type="dxa" w:w="18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185FA5"/>
                <w:sz w:val="20"/>
                <w:szCs w:val="20"/>
              </w:rPr>
              <w:t xml:space="preserve">≥ 92% accuracy</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O3</w:t>
            </w:r>
          </w:p>
        </w:tc>
        <w:tc>
          <w:tcPr>
            <w:tcW w:type="dxa" w:w="2000"/>
            <w:tcBorders>
              <w:top w:val="single" w:color="CCCCCC" w:sz="1"/>
              <w:left w:val="single" w:color="CCCCCC" w:sz="1"/>
              <w:bottom w:val="single" w:color="CCCCCC" w:sz="1"/>
              <w:right w:val="single" w:color="CCCCCC" w:sz="1"/>
            </w:tcBorders>
            <w:shd w:fill="F5FAF7" w:val="clear"/>
            <w:tcMar>
              <w:top w:type="dxa" w:w="100"/>
              <w:left w:type="dxa" w:w="150"/>
              <w:bottom w:type="dxa" w:w="100"/>
              <w:right w:type="dxa" w:w="150"/>
            </w:tcMar>
          </w:tcPr>
          <w:p>
            <w:r>
              <w:rPr>
                <w:rFonts w:ascii="Arial" w:cs="Arial" w:eastAsia="Arial" w:hAnsi="Arial"/>
                <w:b/>
                <w:bCs/>
                <w:sz w:val="20"/>
                <w:szCs w:val="20"/>
              </w:rPr>
              <w:t xml:space="preserve">Reduce Rework Cost</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Decrease end-of-line rejection rework cost by 40% through earlier upstream defect flagging — catching defects at station 2 vs. station 7.</w:t>
            </w:r>
          </w:p>
        </w:tc>
        <w:tc>
          <w:tcPr>
            <w:tcW w:type="dxa" w:w="18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185FA5"/>
                <w:sz w:val="20"/>
                <w:szCs w:val="20"/>
              </w:rPr>
              <w:t xml:space="preserve">40% cost reduction</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O4</w:t>
            </w:r>
          </w:p>
        </w:tc>
        <w:tc>
          <w:tcPr>
            <w:tcW w:type="dxa" w:w="2000"/>
            <w:tcBorders>
              <w:top w:val="single" w:color="CCCCCC" w:sz="1"/>
              <w:left w:val="single" w:color="CCCCCC" w:sz="1"/>
              <w:bottom w:val="single" w:color="CCCCCC" w:sz="1"/>
              <w:right w:val="single" w:color="CCCCCC" w:sz="1"/>
            </w:tcBorders>
            <w:shd w:fill="F5FAF7" w:val="clear"/>
            <w:tcMar>
              <w:top w:type="dxa" w:w="100"/>
              <w:left w:type="dxa" w:w="150"/>
              <w:bottom w:type="dxa" w:w="100"/>
              <w:right w:type="dxa" w:w="150"/>
            </w:tcMar>
          </w:tcPr>
          <w:p>
            <w:r>
              <w:rPr>
                <w:rFonts w:ascii="Arial" w:cs="Arial" w:eastAsia="Arial" w:hAnsi="Arial"/>
                <w:b/>
                <w:bCs/>
                <w:sz w:val="20"/>
                <w:szCs w:val="20"/>
              </w:rPr>
              <w:t xml:space="preserve">Real-Time Integration</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Integrate the predictive system with existing Manufacturing Execution System (MES) with inference latency under 200 milliseconds.</w:t>
            </w:r>
          </w:p>
        </w:tc>
        <w:tc>
          <w:tcPr>
            <w:tcW w:type="dxa" w:w="18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185FA5"/>
                <w:sz w:val="20"/>
                <w:szCs w:val="20"/>
              </w:rPr>
              <w:t xml:space="preserve">&lt; 200 ms latency</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O5</w:t>
            </w:r>
          </w:p>
        </w:tc>
        <w:tc>
          <w:tcPr>
            <w:tcW w:type="dxa" w:w="2000"/>
            <w:tcBorders>
              <w:top w:val="single" w:color="CCCCCC" w:sz="1"/>
              <w:left w:val="single" w:color="CCCCCC" w:sz="1"/>
              <w:bottom w:val="single" w:color="CCCCCC" w:sz="1"/>
              <w:right w:val="single" w:color="CCCCCC" w:sz="1"/>
            </w:tcBorders>
            <w:shd w:fill="F5FAF7" w:val="clear"/>
            <w:tcMar>
              <w:top w:type="dxa" w:w="100"/>
              <w:left w:type="dxa" w:w="150"/>
              <w:bottom w:type="dxa" w:w="100"/>
              <w:right w:type="dxa" w:w="150"/>
            </w:tcMar>
          </w:tcPr>
          <w:p>
            <w:r>
              <w:rPr>
                <w:rFonts w:ascii="Arial" w:cs="Arial" w:eastAsia="Arial" w:hAnsi="Arial"/>
                <w:b/>
                <w:bCs/>
                <w:sz w:val="20"/>
                <w:szCs w:val="20"/>
              </w:rPr>
              <w:t xml:space="preserve">Cross-Chemistry Applicability</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Enable the system to work for NMC lithium-ion, LFP, and H2 fuel cell stack assemblies without chemistry-specific model retraining.</w:t>
            </w:r>
          </w:p>
        </w:tc>
        <w:tc>
          <w:tcPr>
            <w:tcW w:type="dxa" w:w="18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185FA5"/>
                <w:sz w:val="20"/>
                <w:szCs w:val="20"/>
              </w:rPr>
              <w:t xml:space="preserve">3 chemistries covered</w:t>
            </w:r>
          </w:p>
        </w:tc>
      </w:tr>
      <w:tr>
        <w:tc>
          <w:tcPr>
            <w:tcW w:type="dxa" w:w="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color w:val="0F4D2E"/>
                <w:sz w:val="20"/>
                <w:szCs w:val="20"/>
              </w:rPr>
              <w:t xml:space="preserve">O6</w:t>
            </w:r>
          </w:p>
        </w:tc>
        <w:tc>
          <w:tcPr>
            <w:tcW w:type="dxa" w:w="2000"/>
            <w:tcBorders>
              <w:top w:val="single" w:color="CCCCCC" w:sz="1"/>
              <w:left w:val="single" w:color="CCCCCC" w:sz="1"/>
              <w:bottom w:val="single" w:color="CCCCCC" w:sz="1"/>
              <w:right w:val="single" w:color="CCCCCC" w:sz="1"/>
            </w:tcBorders>
            <w:shd w:fill="F5FAF7" w:val="clear"/>
            <w:tcMar>
              <w:top w:type="dxa" w:w="100"/>
              <w:left w:type="dxa" w:w="150"/>
              <w:bottom w:type="dxa" w:w="100"/>
              <w:right w:type="dxa" w:w="150"/>
            </w:tcMar>
          </w:tcPr>
          <w:p>
            <w:r>
              <w:rPr>
                <w:rFonts w:ascii="Arial" w:cs="Arial" w:eastAsia="Arial" w:hAnsi="Arial"/>
                <w:b/>
                <w:bCs/>
                <w:sz w:val="20"/>
                <w:szCs w:val="20"/>
              </w:rPr>
              <w:t xml:space="preserve">Reduce Material Waste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Cut faulty pack scrapping rate by 60% through earlier detection, reducing lithium, cobalt, and nickel waste per 10,000 vehicles.</w:t>
            </w:r>
          </w:p>
        </w:tc>
        <w:tc>
          <w:tcPr>
            <w:tcW w:type="dxa" w:w="18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185FA5"/>
                <w:sz w:val="20"/>
                <w:szCs w:val="20"/>
              </w:rPr>
              <w:t xml:space="preserve">60% waste reduction</w:t>
            </w:r>
          </w:p>
        </w:tc>
      </w:tr>
    </w:tbl>
    <w:p>
      <w:pPr>
        <w:spacing w:before="60" w:after="80"/>
        <w:jc w:val="both"/>
      </w:pPr>
      <w:r>
        <w:rPr>
          <w:rFonts w:ascii="Arial" w:cs="Arial" w:eastAsia="Arial" w:hAnsi="Arial"/>
          <w:sz w:val="22"/>
          <w:szCs w:val="22"/>
        </w:rPr>
        <w:t xml:space="preserve"/>
      </w:r>
    </w:p>
    <w:p>
      <w:pPr>
        <w:pStyle w:val="Heading1"/>
        <w:pBdr>
          <w:bottom w:val="single" w:color="1D6B4E" w:sz="4" w:space="4"/>
        </w:pBdr>
        <w:spacing w:before="360" w:after="160"/>
      </w:pPr>
      <w:r>
        <w:rPr>
          <w:rFonts w:ascii="Arial" w:cs="Arial" w:eastAsia="Arial" w:hAnsi="Arial"/>
          <w:b/>
          <w:bCs/>
          <w:color w:val="1D6B4E"/>
          <w:sz w:val="30"/>
          <w:szCs w:val="30"/>
        </w:rPr>
        <w:t xml:space="preserve">4. Expected Outcomes</w:t>
      </w:r>
    </w:p>
    <w:p>
      <w:pPr>
        <w:pStyle w:val="Heading2"/>
        <w:spacing w:before="240" w:after="100"/>
      </w:pPr>
      <w:r>
        <w:rPr>
          <w:rFonts w:ascii="Arial" w:cs="Arial" w:eastAsia="Arial" w:hAnsi="Arial"/>
          <w:b/>
          <w:bCs/>
          <w:color w:val="185FA5"/>
          <w:sz w:val="24"/>
          <w:szCs w:val="24"/>
        </w:rPr>
        <w:t xml:space="preserve">4.1 Economic Impact</w:t>
      </w:r>
    </w:p>
    <w:p>
      <w:pPr>
        <w:pStyle w:val="ListParagraph"/>
        <w:numPr>
          <w:ilvl w:val="0"/>
          <w:numId w:val="2"/>
        </w:numPr>
        <w:spacing w:before="40" w:after="60"/>
      </w:pPr>
      <w:r>
        <w:rPr>
          <w:rFonts w:ascii="Arial" w:cs="Arial" w:eastAsia="Arial" w:hAnsi="Arial"/>
          <w:sz w:val="22"/>
          <w:szCs w:val="22"/>
        </w:rPr>
        <w:t xml:space="preserve">Estimated $800M+ annual savings in recall and warranty costs across top-5 global EV manufacturers if deployed at scale</w:t>
      </w:r>
    </w:p>
    <w:p>
      <w:pPr>
        <w:pStyle w:val="ListParagraph"/>
        <w:numPr>
          <w:ilvl w:val="0"/>
          <w:numId w:val="2"/>
        </w:numPr>
        <w:spacing w:before="40" w:after="60"/>
      </w:pPr>
      <w:r>
        <w:rPr>
          <w:rFonts w:ascii="Arial" w:cs="Arial" w:eastAsia="Arial" w:hAnsi="Arial"/>
          <w:sz w:val="22"/>
          <w:szCs w:val="22"/>
        </w:rPr>
        <w:t xml:space="preserve">Return on investment within 14 months per assembly line — hardware and integration cost ~$85,000 per line vs. average $620,000/year in defect-related costs</w:t>
      </w:r>
    </w:p>
    <w:p>
      <w:pPr>
        <w:pStyle w:val="ListParagraph"/>
        <w:numPr>
          <w:ilvl w:val="0"/>
          <w:numId w:val="2"/>
        </w:numPr>
        <w:spacing w:before="40" w:after="60"/>
      </w:pPr>
      <w:r>
        <w:rPr>
          <w:rFonts w:ascii="Arial" w:cs="Arial" w:eastAsia="Arial" w:hAnsi="Arial"/>
          <w:sz w:val="22"/>
          <w:szCs w:val="22"/>
        </w:rPr>
        <w:t xml:space="preserve">35% reduction in warranty reserve requirements for OEM financial planning</w:t>
      </w:r>
    </w:p>
    <w:p>
      <w:pPr>
        <w:spacing w:before="60" w:after="80"/>
        <w:jc w:val="both"/>
      </w:pPr>
      <w:r>
        <w:rPr>
          <w:rFonts w:ascii="Arial" w:cs="Arial" w:eastAsia="Arial" w:hAnsi="Arial"/>
          <w:sz w:val="22"/>
          <w:szCs w:val="22"/>
        </w:rPr>
        <w:t xml:space="preserve"/>
      </w:r>
    </w:p>
    <w:p>
      <w:pPr>
        <w:pStyle w:val="Heading2"/>
        <w:spacing w:before="240" w:after="100"/>
      </w:pPr>
      <w:r>
        <w:rPr>
          <w:rFonts w:ascii="Arial" w:cs="Arial" w:eastAsia="Arial" w:hAnsi="Arial"/>
          <w:b/>
          <w:bCs/>
          <w:color w:val="185FA5"/>
          <w:sz w:val="24"/>
          <w:szCs w:val="24"/>
        </w:rPr>
        <w:t xml:space="preserve">4.2 Safety Impact</w:t>
      </w:r>
    </w:p>
    <w:p>
      <w:pPr>
        <w:pStyle w:val="ListParagraph"/>
        <w:numPr>
          <w:ilvl w:val="0"/>
          <w:numId w:val="2"/>
        </w:numPr>
        <w:spacing w:before="40" w:after="60"/>
      </w:pPr>
      <w:r>
        <w:rPr>
          <w:rFonts w:ascii="Arial" w:cs="Arial" w:eastAsia="Arial" w:hAnsi="Arial"/>
          <w:sz w:val="22"/>
          <w:szCs w:val="22"/>
        </w:rPr>
        <w:t xml:space="preserve">Thermal runaway incidents projected to decrease by 70% through earlier detection of thermal delta anomalies and cell voltage variance</w:t>
      </w:r>
    </w:p>
    <w:p>
      <w:pPr>
        <w:pStyle w:val="ListParagraph"/>
        <w:numPr>
          <w:ilvl w:val="0"/>
          <w:numId w:val="2"/>
        </w:numPr>
        <w:spacing w:before="40" w:after="60"/>
      </w:pPr>
      <w:r>
        <w:rPr>
          <w:rFonts w:ascii="Arial" w:cs="Arial" w:eastAsia="Arial" w:hAnsi="Arial"/>
          <w:sz w:val="22"/>
          <w:szCs w:val="22"/>
        </w:rPr>
        <w:t xml:space="preserve">Full compliance roadmap with UN ECE R100, ISO 26262 ASIL-B, and IEC 62133-2 battery safety standards</w:t>
      </w:r>
    </w:p>
    <w:p>
      <w:pPr>
        <w:pStyle w:val="ListParagraph"/>
        <w:numPr>
          <w:ilvl w:val="0"/>
          <w:numId w:val="2"/>
        </w:numPr>
        <w:spacing w:before="40" w:after="60"/>
      </w:pPr>
      <w:r>
        <w:rPr>
          <w:rFonts w:ascii="Arial" w:cs="Arial" w:eastAsia="Arial" w:hAnsi="Arial"/>
          <w:sz w:val="22"/>
          <w:szCs w:val="22"/>
        </w:rPr>
        <w:t xml:space="preserve">Reduction in field service incidents requiring emergency battery replacement</w:t>
      </w:r>
    </w:p>
    <w:p>
      <w:pPr>
        <w:spacing w:before="60" w:after="80"/>
        <w:jc w:val="both"/>
      </w:pPr>
      <w:r>
        <w:rPr>
          <w:rFonts w:ascii="Arial" w:cs="Arial" w:eastAsia="Arial" w:hAnsi="Arial"/>
          <w:sz w:val="22"/>
          <w:szCs w:val="22"/>
        </w:rPr>
        <w:t xml:space="preserve"/>
      </w:r>
    </w:p>
    <w:p>
      <w:pPr>
        <w:pStyle w:val="Heading2"/>
        <w:spacing w:before="240" w:after="100"/>
      </w:pPr>
      <w:r>
        <w:rPr>
          <w:rFonts w:ascii="Arial" w:cs="Arial" w:eastAsia="Arial" w:hAnsi="Arial"/>
          <w:b/>
          <w:bCs/>
          <w:color w:val="185FA5"/>
          <w:sz w:val="24"/>
          <w:szCs w:val="24"/>
        </w:rPr>
        <w:t xml:space="preserve">4.3 Environmental Impact</w:t>
      </w:r>
    </w:p>
    <w:p>
      <w:pPr>
        <w:pStyle w:val="ListParagraph"/>
        <w:numPr>
          <w:ilvl w:val="0"/>
          <w:numId w:val="2"/>
        </w:numPr>
        <w:spacing w:before="40" w:after="60"/>
      </w:pPr>
      <w:r>
        <w:rPr>
          <w:rFonts w:ascii="Arial" w:cs="Arial" w:eastAsia="Arial" w:hAnsi="Arial"/>
          <w:sz w:val="22"/>
          <w:szCs w:val="22"/>
        </w:rPr>
        <w:t xml:space="preserve">60% reduction in scrapped packs = approximately 8.4 tonnes less lithium, 5.6 tonnes less cobalt, and 10.2 tonnes less nickel waste per 10,000 vehicles assembled</w:t>
      </w:r>
    </w:p>
    <w:p>
      <w:pPr>
        <w:pStyle w:val="ListParagraph"/>
        <w:numPr>
          <w:ilvl w:val="0"/>
          <w:numId w:val="2"/>
        </w:numPr>
        <w:spacing w:before="40" w:after="60"/>
      </w:pPr>
      <w:r>
        <w:rPr>
          <w:rFonts w:ascii="Arial" w:cs="Arial" w:eastAsia="Arial" w:hAnsi="Arial"/>
          <w:sz w:val="22"/>
          <w:szCs w:val="22"/>
        </w:rPr>
        <w:t xml:space="preserve">Lower carbon footprint from reduced manufacturing rework and material extraction</w:t>
      </w:r>
    </w:p>
    <w:p>
      <w:pPr>
        <w:pStyle w:val="ListParagraph"/>
        <w:numPr>
          <w:ilvl w:val="0"/>
          <w:numId w:val="2"/>
        </w:numPr>
        <w:spacing w:before="40" w:after="60"/>
      </w:pPr>
      <w:r>
        <w:rPr>
          <w:rFonts w:ascii="Arial" w:cs="Arial" w:eastAsia="Arial" w:hAnsi="Arial"/>
          <w:sz w:val="22"/>
          <w:szCs w:val="22"/>
        </w:rPr>
        <w:t xml:space="preserve">Alignment with EU Battery Regulation 2023/1542 sustainability requirements</w:t>
      </w:r>
    </w:p>
    <w:p>
      <w:pPr>
        <w:spacing w:before="60" w:after="80"/>
        <w:jc w:val="both"/>
      </w:pPr>
      <w:r>
        <w:rPr>
          <w:rFonts w:ascii="Arial" w:cs="Arial" w:eastAsia="Arial" w:hAnsi="Arial"/>
          <w:sz w:val="22"/>
          <w:szCs w:val="22"/>
        </w:rPr>
        <w:t xml:space="preserve"/>
      </w:r>
    </w:p>
    <w:p>
      <w:pPr>
        <w:pStyle w:val="Heading2"/>
        <w:spacing w:before="240" w:after="100"/>
      </w:pPr>
      <w:r>
        <w:rPr>
          <w:rFonts w:ascii="Arial" w:cs="Arial" w:eastAsia="Arial" w:hAnsi="Arial"/>
          <w:b/>
          <w:bCs/>
          <w:color w:val="185FA5"/>
          <w:sz w:val="24"/>
          <w:szCs w:val="24"/>
        </w:rPr>
        <w:t xml:space="preserve">4.4 Industry and Academic Impact</w:t>
      </w:r>
    </w:p>
    <w:p>
      <w:pPr>
        <w:pStyle w:val="ListParagraph"/>
        <w:numPr>
          <w:ilvl w:val="0"/>
          <w:numId w:val="2"/>
        </w:numPr>
        <w:spacing w:before="40" w:after="60"/>
      </w:pPr>
      <w:r>
        <w:rPr>
          <w:rFonts w:ascii="Arial" w:cs="Arial" w:eastAsia="Arial" w:hAnsi="Arial"/>
          <w:sz w:val="22"/>
          <w:szCs w:val="22"/>
        </w:rPr>
        <w:t xml:space="preserve">First scalable framework that bridges academic ML theory and real factory-floor deployment — addressing a critical gap in the industry</w:t>
      </w:r>
    </w:p>
    <w:p>
      <w:pPr>
        <w:pStyle w:val="ListParagraph"/>
        <w:numPr>
          <w:ilvl w:val="0"/>
          <w:numId w:val="2"/>
        </w:numPr>
        <w:spacing w:before="40" w:after="60"/>
      </w:pPr>
      <w:r>
        <w:rPr>
          <w:rFonts w:ascii="Arial" w:cs="Arial" w:eastAsia="Arial" w:hAnsi="Arial"/>
          <w:sz w:val="22"/>
          <w:szCs w:val="22"/>
        </w:rPr>
        <w:t xml:space="preserve">Open methodology applicable to hydrogen fuel cell vehicle manufacturing — extending to the next generation of clean energy systems</w:t>
      </w:r>
    </w:p>
    <w:p>
      <w:pPr>
        <w:pStyle w:val="ListParagraph"/>
        <w:numPr>
          <w:ilvl w:val="0"/>
          <w:numId w:val="2"/>
        </w:numPr>
        <w:spacing w:before="40" w:after="60"/>
      </w:pPr>
      <w:r>
        <w:rPr>
          <w:rFonts w:ascii="Arial" w:cs="Arial" w:eastAsia="Arial" w:hAnsi="Arial"/>
          <w:sz w:val="22"/>
          <w:szCs w:val="22"/>
        </w:rPr>
        <w:t xml:space="preserve">Operator upskilling through SHAP-based AI explanations — democratizing ML for factory floor personnel</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
      </w:r>
    </w:p>
    <w:p>
      <w:pPr>
        <w:shd w:fill="1D6B4E" w:val="clear"/>
        <w:spacing w:before="200" w:after="0"/>
        <w:jc w:val="center"/>
      </w:pPr>
      <w:r>
        <w:rPr>
          <w:rFonts w:ascii="Arial" w:cs="Arial" w:eastAsia="Arial" w:hAnsi="Arial"/>
          <w:b/>
          <w:bCs/>
          <w:color w:val="FFFFFF"/>
          <w:sz w:val="22"/>
          <w:szCs w:val="22"/>
        </w:rPr>
        <w:t xml:space="preserve">Maximum Score Target: Problem Analysis — 20/20 Points</w:t>
      </w:r>
    </w:p>
    <w:p>
      <w:pPr>
        <w:shd w:fill="0F4D2E" w:val="clear"/>
        <w:spacing w:before="0" w:after="0"/>
        <w:jc w:val="center"/>
      </w:pPr>
      <w:r>
        <w:rPr>
          <w:rFonts w:ascii="Arial" w:cs="Arial" w:eastAsia="Arial" w:hAnsi="Arial"/>
          <w:color w:val="FFFFFF"/>
          <w:sz w:val="20"/>
          <w:szCs w:val="20"/>
        </w:rPr>
        <w:t xml:space="preserve">Depth of understanding | Clarity of root causes | Measurable objectives | Stakeholder analysis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Hackathon Submission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888"/>
        <w:sz w:val="18"/>
        <w:szCs w:val="18"/>
      </w:rPr>
      <w:t xml:space="preserve">EV &amp; Hydrogen Assembly — Problem Statement | Hackathon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D6B4E"/>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2026-03-18T07:31:07.851Z</dcterms:created>
  <dcterms:modified xsi:type="dcterms:W3CDTF">2026-03-18T07:31:07.852Z</dcterms:modified>
</cp:coreProperties>
</file>

<file path=docProps/custom.xml><?xml version="1.0" encoding="utf-8"?>
<Properties xmlns="http://schemas.openxmlformats.org/officeDocument/2006/custom-properties" xmlns:vt="http://schemas.openxmlformats.org/officeDocument/2006/docPropsVTypes"/>
</file>