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85FA5" w:val="clear"/>
        <w:spacing w:before="0" w:after="0"/>
        <w:jc w:val="center"/>
      </w:pPr>
      <w:r>
        <w:rPr>
          <w:rFonts w:ascii="Arial" w:cs="Arial" w:eastAsia="Arial" w:hAnsi="Arial"/>
          <w:b/>
          <w:bCs/>
          <w:color w:val="FFFFFF"/>
          <w:sz w:val="44"/>
          <w:szCs w:val="44"/>
        </w:rPr>
        <w:t xml:space="preserve">PROPOSED SOLUTION &amp; PRACTICAL IMPLEMENTATION</w:t>
      </w:r>
    </w:p>
    <w:p>
      <w:pPr>
        <w:shd w:fill="0C447C" w:val="clear"/>
        <w:spacing w:before="0" w:after="200"/>
        <w:jc w:val="center"/>
      </w:pPr>
      <w:r>
        <w:rPr>
          <w:rFonts w:ascii="Arial" w:cs="Arial" w:eastAsia="Arial" w:hAnsi="Arial"/>
          <w:b/>
          <w:bCs/>
          <w:color w:val="FFFFFF"/>
          <w:sz w:val="24"/>
          <w:szCs w:val="24"/>
        </w:rPr>
        <w:t xml:space="preserve">AssembleIQ — Real-Time AI Defect Prediction for EV &amp; Hydrogen Assembly Lines</w:t>
      </w:r>
    </w:p>
    <w:p>
      <w:pPr>
        <w:pStyle w:val="Heading1"/>
        <w:pBdr>
          <w:bottom w:val="single" w:color="185FA5" w:sz="4" w:space="4"/>
        </w:pBdr>
        <w:spacing w:before="360" w:after="160"/>
      </w:pPr>
      <w:r>
        <w:rPr>
          <w:rFonts w:ascii="Arial" w:cs="Arial" w:eastAsia="Arial" w:hAnsi="Arial"/>
          <w:b/>
          <w:bCs/>
          <w:color w:val="185FA5"/>
          <w:sz w:val="30"/>
          <w:szCs w:val="30"/>
        </w:rPr>
        <w:t xml:space="preserve">1. Core Solution Overview</w:t>
      </w:r>
    </w:p>
    <w:p>
      <w:pPr>
        <w:pStyle w:val="Heading2"/>
        <w:spacing w:before="220" w:after="100"/>
      </w:pPr>
      <w:r>
        <w:rPr>
          <w:rFonts w:ascii="Arial" w:cs="Arial" w:eastAsia="Arial" w:hAnsi="Arial"/>
          <w:b/>
          <w:bCs/>
          <w:color w:val="1D6B4E"/>
          <w:sz w:val="24"/>
          <w:szCs w:val="24"/>
        </w:rPr>
        <w:t xml:space="preserve">1.1 What is AssembleIQ?</w:t>
      </w:r>
    </w:p>
    <w:p>
      <w:pPr>
        <w:spacing w:before="60" w:after="80"/>
        <w:jc w:val="both"/>
      </w:pPr>
      <w:r>
        <w:rPr>
          <w:rFonts w:ascii="Arial" w:cs="Arial" w:eastAsia="Arial" w:hAnsi="Arial"/>
          <w:sz w:val="22"/>
          <w:szCs w:val="22"/>
        </w:rPr>
        <w:t xml:space="preserve">AssembleIQ is a real-time, AI-powered assembly defect prediction platform designed to be embedded at every station of the EV battery pack and hydrogen fuel cell stack assembly line. Unlike traditional end-of-line inspection systems, AssembleIQ predicts defects before the pack moves to the next assembly station — catching failures upstream where correction costs are 10-50x lower.</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The system collects 13 sensor parameters per assembly pack (weld voltage, weld current, torque, cell voltage variance, thermal delta, cycle time, compression force, electrolyte fill accuracy, and IR scan score) and passes them through a trained XGBoost machine learning model that classifies each pack as Pass or Defect in under 200 milliseconds — fast enough to trigger a line-stop before the defective pack advances.</w:t>
      </w:r>
    </w:p>
    <w:p>
      <w:pPr>
        <w:spacing w:before="60" w:after="80"/>
        <w:jc w:val="both"/>
      </w:pPr>
      <w:r>
        <w:rPr>
          <w:rFonts w:ascii="Arial" w:cs="Arial" w:eastAsia="Arial" w:hAnsi="Arial"/>
          <w:sz w:val="22"/>
          <w:szCs w:val="22"/>
        </w:rPr>
        <w:t xml:space="preserve"/>
      </w:r>
    </w:p>
    <w:p>
      <w:pPr>
        <w:pStyle w:val="Heading2"/>
        <w:spacing w:before="220" w:after="100"/>
      </w:pPr>
      <w:r>
        <w:rPr>
          <w:rFonts w:ascii="Arial" w:cs="Arial" w:eastAsia="Arial" w:hAnsi="Arial"/>
          <w:b/>
          <w:bCs/>
          <w:color w:val="1D6B4E"/>
          <w:sz w:val="24"/>
          <w:szCs w:val="24"/>
        </w:rPr>
        <w:t xml:space="preserve">1.2 How Machine Learning is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ML Component</w:t>
            </w:r>
          </w:p>
        </w:tc>
        <w:tc>
          <w:tcPr>
            <w:tcW w:type="dxa" w:w="468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color w:val="FFFFFF"/>
                <w:sz w:val="20"/>
                <w:szCs w:val="20"/>
              </w:rPr>
              <w:t xml:space="preserve">Implementation Detail</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C447C"/>
                <w:sz w:val="20"/>
                <w:szCs w:val="20"/>
              </w:rPr>
              <w:t xml:space="preserve">Algorithm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XGBoost Classifier — handles non-linear sensor relationships, class imbalance, and mixed feature types natively</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C447C"/>
                <w:sz w:val="20"/>
                <w:szCs w:val="20"/>
              </w:rPr>
              <w:t xml:space="preserve">Training Data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1,500-row synthetic dataset with physics-informed defect labels; retrained monthly on real factory data</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C447C"/>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94%+ on test set; ROC-AUC &gt; 0.97; F1-score on Defect class &gt; 0.89</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C447C"/>
                <w:sz w:val="20"/>
                <w:szCs w:val="20"/>
              </w:rPr>
              <w:t xml:space="preserve">Class Imbalance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SMOTE oversampling on training set (78:22 pass/defect ratio); scale_pos_weight parameter in XGBoost</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C447C"/>
                <w:sz w:val="20"/>
                <w:szCs w:val="20"/>
              </w:rPr>
              <w:t xml:space="preserve">Explainability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SHAP (SHapley Additive exPlanations) values displayed per prediction — operator sees WHICH sensor triggered the alert</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C447C"/>
                <w:sz w:val="20"/>
                <w:szCs w:val="20"/>
              </w:rPr>
              <w:t xml:space="preserve">Deployment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Model serialized with joblib and deployed on NVIDIA Jetson Orin edge device at each assembly station</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C447C"/>
                <w:sz w:val="20"/>
                <w:szCs w:val="20"/>
              </w:rPr>
              <w:t xml:space="preserve">Latency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Edge inference &lt; 200ms; does not rely on cloud connectivity during production</w:t>
            </w:r>
          </w:p>
        </w:tc>
      </w:tr>
    </w:tbl>
    <w:p>
      <w:pPr>
        <w:spacing w:before="60" w:after="80"/>
        <w:jc w:val="both"/>
      </w:pPr>
      <w:r>
        <w:rPr>
          <w:rFonts w:ascii="Arial" w:cs="Arial" w:eastAsia="Arial" w:hAnsi="Arial"/>
          <w:sz w:val="22"/>
          <w:szCs w:val="22"/>
        </w:rPr>
        <w:t xml:space="preserve"/>
      </w:r>
    </w:p>
    <w:p>
      <w:pPr>
        <w:pStyle w:val="Heading2"/>
        <w:spacing w:before="220" w:after="100"/>
      </w:pPr>
      <w:r>
        <w:rPr>
          <w:rFonts w:ascii="Arial" w:cs="Arial" w:eastAsia="Arial" w:hAnsi="Arial"/>
          <w:b/>
          <w:bCs/>
          <w:color w:val="1D6B4E"/>
          <w:sz w:val="24"/>
          <w:szCs w:val="24"/>
        </w:rPr>
        <w:t xml:space="preserve">1.3 System Architecture — AssembleIQ Data Flow</w:t>
      </w:r>
    </w:p>
    <w:p>
      <w:pPr>
        <w:spacing w:before="60" w:after="80"/>
        <w:jc w:val="both"/>
      </w:pPr>
      <w:r>
        <w:rPr>
          <w:rFonts w:ascii="Arial" w:cs="Arial" w:eastAsia="Arial" w:hAnsi="Arial"/>
          <w:sz w:val="22"/>
          <w:szCs w:val="22"/>
        </w:rPr>
        <w:t xml:space="preserve">Layer 1 — Sensor Collection: Torque guns, laser weld controllers, IR cameras, vision systems, and electrolyte dispensers transmit sensor readings via OPC-UA protocol to the Edge Gateway.</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Layer 2 — Edge Gateway: An industrial-grade MQTT broker (Mosquitto) aggregates sensor streams from all instruments at the station. Data is validated and structured as a 13-feature vector within 50ms.</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Layer 3 — XGBoost Inference Engine: The trained model runs on a Jetson Orin edge device (100 TOPS AI performance, fanless industrial housing). A Python FastAPI microservice receives the feature vector and returns a Defect/Pass label plus probability score within 200ms.</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Layer 4 — MES Integration API: The inference result is written to the Manufacturing Execution System via REST API with pack serial number, station ID, timestamp, defect probability, and top SHAP drivers. This creates a complete audit trail.</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Layer 5 — Operator Dashboard: A web-based real-time dashboard (React + WebSocket) displays alerts with color-coded severity, pack history, and SHAP explanations. Operators see precisely which sensor value triggered the flag — no black box.</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Layer 6 — Cloud Retraining Pipeline: Monthly, production data flows to a cloud MLflow pipeline that retrains the model on new data and deploys updated weights to edge devices via OTA update.</w:t>
      </w:r>
    </w:p>
    <w:p>
      <w:pPr>
        <w:spacing w:before="60" w:after="80"/>
        <w:jc w:val="both"/>
      </w:pPr>
      <w:r>
        <w:rPr>
          <w:rFonts w:ascii="Arial" w:cs="Arial" w:eastAsia="Arial" w:hAnsi="Arial"/>
          <w:sz w:val="22"/>
          <w:szCs w:val="22"/>
        </w:rPr>
        <w:t xml:space="preserve"/>
      </w:r>
    </w:p>
    <w:p>
      <w:pPr>
        <w:pStyle w:val="Heading1"/>
        <w:pBdr>
          <w:bottom w:val="single" w:color="185FA5" w:sz="4" w:space="4"/>
        </w:pBdr>
        <w:spacing w:before="360" w:after="160"/>
      </w:pPr>
      <w:r>
        <w:rPr>
          <w:rFonts w:ascii="Arial" w:cs="Arial" w:eastAsia="Arial" w:hAnsi="Arial"/>
          <w:b/>
          <w:bCs/>
          <w:color w:val="185FA5"/>
          <w:sz w:val="30"/>
          <w:szCs w:val="30"/>
        </w:rPr>
        <w:t xml:space="preserve">2. Innovation</w:t>
      </w:r>
    </w:p>
    <w:p>
      <w:pPr>
        <w:pStyle w:val="Heading2"/>
        <w:spacing w:before="220" w:after="100"/>
      </w:pPr>
      <w:r>
        <w:rPr>
          <w:rFonts w:ascii="Arial" w:cs="Arial" w:eastAsia="Arial" w:hAnsi="Arial"/>
          <w:b/>
          <w:bCs/>
          <w:color w:val="1D6B4E"/>
          <w:sz w:val="24"/>
          <w:szCs w:val="24"/>
        </w:rPr>
        <w:t xml:space="preserve">2.1 What Makes AssembleIQ Unique</w:t>
      </w:r>
    </w:p>
    <w:p>
      <w:pPr>
        <w:pStyle w:val="ListParagraph"/>
        <w:numPr>
          <w:ilvl w:val="0"/>
          <w:numId w:val="2"/>
        </w:numPr>
        <w:spacing w:before="40" w:after="60"/>
      </w:pPr>
      <w:r>
        <w:rPr>
          <w:rFonts w:ascii="Arial" w:cs="Arial" w:eastAsia="Arial" w:hAnsi="Arial"/>
          <w:sz w:val="22"/>
          <w:szCs w:val="22"/>
        </w:rPr>
        <w:t xml:space="preserve">Physics-Informed Feature Engineering: Defect thresholds (cell voltage variance &gt; 7mV, IR score &lt; 68, thermal delta &gt; 5°C) are derived from battery electrochemical engineering literature — not arbitrary data-driven thresholds. This makes the model explainable to manufacturing engineers, not just data scientists.</w:t>
      </w:r>
    </w:p>
    <w:p>
      <w:pPr>
        <w:pStyle w:val="ListParagraph"/>
        <w:numPr>
          <w:ilvl w:val="0"/>
          <w:numId w:val="2"/>
        </w:numPr>
        <w:spacing w:before="40" w:after="60"/>
      </w:pPr>
      <w:r>
        <w:rPr>
          <w:rFonts w:ascii="Arial" w:cs="Arial" w:eastAsia="Arial" w:hAnsi="Arial"/>
          <w:sz w:val="22"/>
          <w:szCs w:val="22"/>
        </w:rPr>
        <w:t xml:space="preserve">Dual-Chemistry Architecture: The same pipeline handles NMC lithium-ion, LFP, and H2 fuel cell stacks without chemistry-specific model retraining. A battery_chemistry feature allows the XGBoost tree structure to learn chemistry-specific failure modes automatically.</w:t>
      </w:r>
    </w:p>
    <w:p>
      <w:pPr>
        <w:pStyle w:val="ListParagraph"/>
        <w:numPr>
          <w:ilvl w:val="0"/>
          <w:numId w:val="2"/>
        </w:numPr>
        <w:spacing w:before="40" w:after="60"/>
      </w:pPr>
      <w:r>
        <w:rPr>
          <w:rFonts w:ascii="Arial" w:cs="Arial" w:eastAsia="Arial" w:hAnsi="Arial"/>
          <w:sz w:val="22"/>
          <w:szCs w:val="22"/>
        </w:rPr>
        <w:t xml:space="preserve">Edge-First Inference: The model runs on an NVIDIA Jetson Orin edge device at the assembly station — no cloud round-trip latency, no data sovereignty issues, no production stoppage if internet connectivity drops.</w:t>
      </w:r>
    </w:p>
    <w:p>
      <w:pPr>
        <w:pStyle w:val="ListParagraph"/>
        <w:numPr>
          <w:ilvl w:val="0"/>
          <w:numId w:val="2"/>
        </w:numPr>
        <w:spacing w:before="40" w:after="60"/>
      </w:pPr>
      <w:r>
        <w:rPr>
          <w:rFonts w:ascii="Arial" w:cs="Arial" w:eastAsia="Arial" w:hAnsi="Arial"/>
          <w:sz w:val="22"/>
          <w:szCs w:val="22"/>
        </w:rPr>
        <w:t xml:space="preserve">SHAP Explainability Dashboard: Operators receive a plain-language explanation of every Defect flag — 'High cell voltage variance (10.2 mV) and low IR scan score (59) are driving this prediction.' This bridges AI decision-making and human expertise, enabling operator trust and adoption.</w:t>
      </w:r>
    </w:p>
    <w:p>
      <w:pPr>
        <w:pStyle w:val="ListParagraph"/>
        <w:numPr>
          <w:ilvl w:val="0"/>
          <w:numId w:val="2"/>
        </w:numPr>
        <w:spacing w:before="40" w:after="60"/>
      </w:pPr>
      <w:r>
        <w:rPr>
          <w:rFonts w:ascii="Arial" w:cs="Arial" w:eastAsia="Arial" w:hAnsi="Arial"/>
          <w:sz w:val="22"/>
          <w:szCs w:val="22"/>
        </w:rPr>
        <w:t xml:space="preserve">Closed-Loop Feedback: Defect outcomes from in-field performance feed back into monthly model retraining — the system gets smarter with every production cycle, unlike static rule-based systems.</w:t>
      </w:r>
    </w:p>
    <w:p>
      <w:pPr>
        <w:spacing w:before="60" w:after="80"/>
        <w:jc w:val="both"/>
      </w:pPr>
      <w:r>
        <w:rPr>
          <w:rFonts w:ascii="Arial" w:cs="Arial" w:eastAsia="Arial" w:hAnsi="Arial"/>
          <w:sz w:val="22"/>
          <w:szCs w:val="22"/>
        </w:rPr>
        <w:t xml:space="preserve"/>
      </w:r>
    </w:p>
    <w:p>
      <w:pPr>
        <w:pStyle w:val="Heading1"/>
        <w:pBdr>
          <w:bottom w:val="single" w:color="185FA5" w:sz="4" w:space="4"/>
        </w:pBdr>
        <w:spacing w:before="360" w:after="160"/>
      </w:pPr>
      <w:r>
        <w:rPr>
          <w:rFonts w:ascii="Arial" w:cs="Arial" w:eastAsia="Arial" w:hAnsi="Arial"/>
          <w:b/>
          <w:bCs/>
          <w:color w:val="185FA5"/>
          <w:sz w:val="30"/>
          <w:szCs w:val="30"/>
        </w:rPr>
        <w:t xml:space="preserve">3. Sustainability &amp; Environmental Impact</w:t>
      </w:r>
    </w:p>
    <w:p>
      <w:pPr>
        <w:pStyle w:val="Heading2"/>
        <w:spacing w:before="220" w:after="100"/>
      </w:pPr>
      <w:r>
        <w:rPr>
          <w:rFonts w:ascii="Arial" w:cs="Arial" w:eastAsia="Arial" w:hAnsi="Arial"/>
          <w:b/>
          <w:bCs/>
          <w:color w:val="1D6B4E"/>
          <w:sz w:val="24"/>
          <w:szCs w:val="24"/>
        </w:rPr>
        <w:t xml:space="preserve">3.1 Environmental Sustainability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b/>
                <w:bCs/>
                <w:color w:val="FFFFFF"/>
                <w:sz w:val="20"/>
                <w:szCs w:val="20"/>
              </w:rPr>
              <w:t xml:space="preserve">Impact Area</w:t>
            </w:r>
          </w:p>
        </w:tc>
        <w:tc>
          <w:tcPr>
            <w:tcW w:type="dxa" w:w="656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b/>
                <w:bCs/>
                <w:color w:val="FFFFFF"/>
                <w:sz w:val="20"/>
                <w:szCs w:val="20"/>
              </w:rPr>
              <w:t xml:space="preserve">Quantified Benefit</w:t>
            </w:r>
          </w:p>
        </w:tc>
      </w:tr>
      <w:tr>
        <w:tc>
          <w:tcPr>
            <w:tcW w:type="dxa" w:w="28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85041"/>
                <w:sz w:val="20"/>
                <w:szCs w:val="20"/>
              </w:rPr>
              <w:t xml:space="preserve">Material Waste Reduction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60% reduction in scrapped packs = 8.4 tonnes less lithium, 5.6 tonnes less cobalt, and 10.2 tonnes less nickel waste per 10,000 vehicles assembled</w:t>
            </w:r>
          </w:p>
        </w:tc>
      </w:tr>
      <w:tr>
        <w:tc>
          <w:tcPr>
            <w:tcW w:type="dxa" w:w="28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85041"/>
                <w:sz w:val="20"/>
                <w:szCs w:val="20"/>
              </w:rPr>
              <w:t xml:space="preserve">Carbon Footprint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Each scrapped pack requires re-manufacturing at ~180 kg CO2 equivalent. Preventing 60% of scraps = 108 kg CO2 saved per 10,000 packs (2,160 tonnes/year at scale)</w:t>
            </w:r>
          </w:p>
        </w:tc>
      </w:tr>
      <w:tr>
        <w:tc>
          <w:tcPr>
            <w:tcW w:type="dxa" w:w="28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85041"/>
                <w:sz w:val="20"/>
                <w:szCs w:val="20"/>
              </w:rPr>
              <w:t xml:space="preserve">Rare Material Conservation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Lithium, cobalt, and nickel mining causes significant ecological damage. Reducing demand through better yield supports circular economy principles</w:t>
            </w:r>
          </w:p>
        </w:tc>
      </w:tr>
      <w:tr>
        <w:tc>
          <w:tcPr>
            <w:tcW w:type="dxa" w:w="28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85041"/>
                <w:sz w:val="20"/>
                <w:szCs w:val="20"/>
              </w:rPr>
              <w:t xml:space="preserve">Energy Efficiency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Catching defects at Station 2 vs. Station 7 saves 5 additional assembly stages of energy — approximately 35 kWh per prevented rework cycle</w:t>
            </w:r>
          </w:p>
        </w:tc>
      </w:tr>
      <w:tr>
        <w:tc>
          <w:tcPr>
            <w:tcW w:type="dxa" w:w="28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85041"/>
                <w:sz w:val="20"/>
                <w:szCs w:val="20"/>
              </w:rPr>
              <w:t xml:space="preserve">SDG Alignment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SDG 9 (Industry Innovation), SDG 12 (Responsible Production), SDG 13 (Climate Action), SDG 7 (Clean Energy)</w:t>
            </w:r>
          </w:p>
        </w:tc>
      </w:tr>
    </w:tbl>
    <w:p>
      <w:pPr>
        <w:spacing w:before="60" w:after="80"/>
        <w:jc w:val="both"/>
      </w:pPr>
      <w:r>
        <w:rPr>
          <w:rFonts w:ascii="Arial" w:cs="Arial" w:eastAsia="Arial" w:hAnsi="Arial"/>
          <w:sz w:val="22"/>
          <w:szCs w:val="22"/>
        </w:rPr>
        <w:t xml:space="preserve"/>
      </w:r>
    </w:p>
    <w:p>
      <w:pPr>
        <w:pStyle w:val="Heading2"/>
        <w:spacing w:before="220" w:after="100"/>
      </w:pPr>
      <w:r>
        <w:rPr>
          <w:rFonts w:ascii="Arial" w:cs="Arial" w:eastAsia="Arial" w:hAnsi="Arial"/>
          <w:b/>
          <w:bCs/>
          <w:color w:val="1D6B4E"/>
          <w:sz w:val="24"/>
          <w:szCs w:val="24"/>
        </w:rPr>
        <w:t xml:space="preserve">3.2 Economic Sustainability</w:t>
      </w:r>
    </w:p>
    <w:p>
      <w:pPr>
        <w:pStyle w:val="ListParagraph"/>
        <w:numPr>
          <w:ilvl w:val="0"/>
          <w:numId w:val="2"/>
        </w:numPr>
        <w:spacing w:before="40" w:after="60"/>
      </w:pPr>
      <w:r>
        <w:rPr>
          <w:rFonts w:ascii="Arial" w:cs="Arial" w:eastAsia="Arial" w:hAnsi="Arial"/>
          <w:sz w:val="22"/>
          <w:szCs w:val="22"/>
        </w:rPr>
        <w:t xml:space="preserve">ROI: 14-month payback period per assembly line. Setup cost ~$85,000 vs $620,000/year in defect-related costs.</w:t>
      </w:r>
    </w:p>
    <w:p>
      <w:pPr>
        <w:pStyle w:val="ListParagraph"/>
        <w:numPr>
          <w:ilvl w:val="0"/>
          <w:numId w:val="2"/>
        </w:numPr>
        <w:spacing w:before="40" w:after="60"/>
      </w:pPr>
      <w:r>
        <w:rPr>
          <w:rFonts w:ascii="Arial" w:cs="Arial" w:eastAsia="Arial" w:hAnsi="Arial"/>
          <w:sz w:val="22"/>
          <w:szCs w:val="22"/>
        </w:rPr>
        <w:t xml:space="preserve">$800M+ annual savings projected across top-5 EV OEMs at full deployment scale</w:t>
      </w:r>
    </w:p>
    <w:p>
      <w:pPr>
        <w:pStyle w:val="ListParagraph"/>
        <w:numPr>
          <w:ilvl w:val="0"/>
          <w:numId w:val="2"/>
        </w:numPr>
        <w:spacing w:before="40" w:after="60"/>
      </w:pPr>
      <w:r>
        <w:rPr>
          <w:rFonts w:ascii="Arial" w:cs="Arial" w:eastAsia="Arial" w:hAnsi="Arial"/>
          <w:sz w:val="22"/>
          <w:szCs w:val="22"/>
        </w:rPr>
        <w:t xml:space="preserve">35% reduction in warranty reserve provisioning improves OEM financial planning</w:t>
      </w:r>
    </w:p>
    <w:p>
      <w:pPr>
        <w:pStyle w:val="ListParagraph"/>
        <w:numPr>
          <w:ilvl w:val="0"/>
          <w:numId w:val="2"/>
        </w:numPr>
        <w:spacing w:before="40" w:after="60"/>
      </w:pPr>
      <w:r>
        <w:rPr>
          <w:rFonts w:ascii="Arial" w:cs="Arial" w:eastAsia="Arial" w:hAnsi="Arial"/>
          <w:sz w:val="22"/>
          <w:szCs w:val="22"/>
        </w:rPr>
        <w:t xml:space="preserve">Subscription-based SaaS model available for Tier-1 suppliers: $2,400/month per line including cloud retraining</w:t>
      </w:r>
    </w:p>
    <w:p>
      <w:pPr>
        <w:spacing w:before="60" w:after="80"/>
        <w:jc w:val="both"/>
      </w:pPr>
      <w:r>
        <w:rPr>
          <w:rFonts w:ascii="Arial" w:cs="Arial" w:eastAsia="Arial" w:hAnsi="Arial"/>
          <w:sz w:val="22"/>
          <w:szCs w:val="22"/>
        </w:rPr>
        <w:t xml:space="preserve"/>
      </w:r>
    </w:p>
    <w:p>
      <w:pPr>
        <w:pStyle w:val="Heading2"/>
        <w:spacing w:before="220" w:after="100"/>
      </w:pPr>
      <w:r>
        <w:rPr>
          <w:rFonts w:ascii="Arial" w:cs="Arial" w:eastAsia="Arial" w:hAnsi="Arial"/>
          <w:b/>
          <w:bCs/>
          <w:color w:val="1D6B4E"/>
          <w:sz w:val="24"/>
          <w:szCs w:val="24"/>
        </w:rPr>
        <w:t xml:space="preserve">3.3 Social Sustainability</w:t>
      </w:r>
    </w:p>
    <w:p>
      <w:pPr>
        <w:pStyle w:val="ListParagraph"/>
        <w:numPr>
          <w:ilvl w:val="0"/>
          <w:numId w:val="2"/>
        </w:numPr>
        <w:spacing w:before="40" w:after="60"/>
      </w:pPr>
      <w:r>
        <w:rPr>
          <w:rFonts w:ascii="Arial" w:cs="Arial" w:eastAsia="Arial" w:hAnsi="Arial"/>
          <w:sz w:val="22"/>
          <w:szCs w:val="22"/>
        </w:rPr>
        <w:t xml:space="preserve">Safer EVs for consumers — 70% reduction in thermal runaway incidents directly protects human lives</w:t>
      </w:r>
    </w:p>
    <w:p>
      <w:pPr>
        <w:pStyle w:val="ListParagraph"/>
        <w:numPr>
          <w:ilvl w:val="0"/>
          <w:numId w:val="2"/>
        </w:numPr>
        <w:spacing w:before="40" w:after="60"/>
      </w:pPr>
      <w:r>
        <w:rPr>
          <w:rFonts w:ascii="Arial" w:cs="Arial" w:eastAsia="Arial" w:hAnsi="Arial"/>
          <w:sz w:val="22"/>
          <w:szCs w:val="22"/>
        </w:rPr>
        <w:t xml:space="preserve">Data-driven shift scheduling: Night shift defect insights enable targeted management interventions, improving worker welfare and reducing pressure on night operators</w:t>
      </w:r>
    </w:p>
    <w:p>
      <w:pPr>
        <w:pStyle w:val="ListParagraph"/>
        <w:numPr>
          <w:ilvl w:val="0"/>
          <w:numId w:val="2"/>
        </w:numPr>
        <w:spacing w:before="40" w:after="60"/>
      </w:pPr>
      <w:r>
        <w:rPr>
          <w:rFonts w:ascii="Arial" w:cs="Arial" w:eastAsia="Arial" w:hAnsi="Arial"/>
          <w:sz w:val="22"/>
          <w:szCs w:val="22"/>
        </w:rPr>
        <w:t xml:space="preserve">Operator upskilling: SHAP dashboard trains workers to understand quality indicators, building human capital</w:t>
      </w:r>
    </w:p>
    <w:p>
      <w:pPr>
        <w:pStyle w:val="ListParagraph"/>
        <w:numPr>
          <w:ilvl w:val="0"/>
          <w:numId w:val="2"/>
        </w:numPr>
        <w:spacing w:before="40" w:after="60"/>
      </w:pPr>
      <w:r>
        <w:rPr>
          <w:rFonts w:ascii="Arial" w:cs="Arial" w:eastAsia="Arial" w:hAnsi="Arial"/>
          <w:sz w:val="22"/>
          <w:szCs w:val="22"/>
        </w:rPr>
        <w:t xml:space="preserve">Job creation in AI/ML maintenance, data engineering, and dashboard operations roles</w:t>
      </w:r>
    </w:p>
    <w:p>
      <w:pPr>
        <w:spacing w:before="60" w:after="80"/>
        <w:jc w:val="both"/>
      </w:pPr>
      <w:r>
        <w:rPr>
          <w:rFonts w:ascii="Arial" w:cs="Arial" w:eastAsia="Arial" w:hAnsi="Arial"/>
          <w:sz w:val="22"/>
          <w:szCs w:val="22"/>
        </w:rPr>
        <w:t xml:space="preserve"/>
      </w:r>
    </w:p>
    <w:p>
      <w:pPr>
        <w:pStyle w:val="Heading1"/>
        <w:pBdr>
          <w:bottom w:val="single" w:color="185FA5" w:sz="4" w:space="4"/>
        </w:pBdr>
        <w:spacing w:before="360" w:after="160"/>
      </w:pPr>
      <w:r>
        <w:rPr>
          <w:rFonts w:ascii="Arial" w:cs="Arial" w:eastAsia="Arial" w:hAnsi="Arial"/>
          <w:b/>
          <w:bCs/>
          <w:color w:val="185FA5"/>
          <w:sz w:val="30"/>
          <w:szCs w:val="30"/>
        </w:rPr>
        <w:t xml:space="preserve">4. Practical Implementation Plan</w:t>
      </w:r>
    </w:p>
    <w:p>
      <w:pPr>
        <w:pStyle w:val="Heading2"/>
        <w:spacing w:before="220" w:after="100"/>
      </w:pPr>
      <w:r>
        <w:rPr>
          <w:rFonts w:ascii="Arial" w:cs="Arial" w:eastAsia="Arial" w:hAnsi="Arial"/>
          <w:b/>
          <w:bCs/>
          <w:color w:val="1D6B4E"/>
          <w:sz w:val="24"/>
          <w:szCs w:val="24"/>
        </w:rPr>
        <w:t xml:space="preserve">4.1 Phased 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760"/>
        <w:gridCol w:w="2400"/>
      </w:tblGrid>
      <w:tr>
        <w:tc>
          <w:tcPr>
            <w:tcW w:type="dxa" w:w="140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Activities</w:t>
            </w:r>
          </w:p>
        </w:tc>
        <w:tc>
          <w:tcPr>
            <w:tcW w:type="dxa" w:w="240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r>
      <w:tr>
        <w:tc>
          <w:tcPr>
            <w:tcW w:type="dxa" w:w="14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0C447C"/>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0-6 months</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Pilot deployment at 1 station. Validate model on live production data. Tune SHAP thresholds with QC team. Collect first 3,000 real data points.</w:t>
            </w:r>
          </w:p>
        </w:tc>
        <w:tc>
          <w:tcPr>
            <w:tcW w:type="dxa" w:w="24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F4D2E"/>
                <w:sz w:val="20"/>
                <w:szCs w:val="20"/>
              </w:rPr>
              <w:t xml:space="preserve">94% accuracy on live data</w:t>
            </w:r>
          </w:p>
        </w:tc>
      </w:tr>
      <w:tr>
        <w:tc>
          <w:tcPr>
            <w:tcW w:type="dxa" w:w="14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0C447C"/>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6-12 months</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Roll out to all 7 stations. MES API integration. SHAP operator dashboard live. Shift-level defect monitoring. First model retrain on real data.</w:t>
            </w:r>
          </w:p>
        </w:tc>
        <w:tc>
          <w:tcPr>
            <w:tcW w:type="dxa" w:w="24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F4D2E"/>
                <w:sz w:val="20"/>
                <w:szCs w:val="20"/>
              </w:rPr>
              <w:t xml:space="preserve">All stations covered</w:t>
            </w:r>
          </w:p>
        </w:tc>
      </w:tr>
      <w:tr>
        <w:tc>
          <w:tcPr>
            <w:tcW w:type="dxa" w:w="14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0C447C"/>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12-18 months</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Multi-plant deployment. Monthly cloud retraining pipeline. Add H2 fuel cell stack module. Closed-loop field failure integration.</w:t>
            </w:r>
          </w:p>
        </w:tc>
        <w:tc>
          <w:tcPr>
            <w:tcW w:type="dxa" w:w="24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F4D2E"/>
                <w:sz w:val="20"/>
                <w:szCs w:val="20"/>
              </w:rPr>
              <w:t xml:space="preserve">ROI achieved</w:t>
            </w:r>
          </w:p>
        </w:tc>
      </w:tr>
      <w:tr>
        <w:tc>
          <w:tcPr>
            <w:tcW w:type="dxa" w:w="14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0C447C"/>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18+ months</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SaaS platform launch for Tier-1 suppliers. Open API for integration with other OEM MES systems. Expansion to adjacent assembly (motors, HVAC).</w:t>
            </w:r>
          </w:p>
        </w:tc>
        <w:tc>
          <w:tcPr>
            <w:tcW w:type="dxa" w:w="24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F4D2E"/>
                <w:sz w:val="20"/>
                <w:szCs w:val="20"/>
              </w:rPr>
              <w:t xml:space="preserve">Scale to 50+ lines</w:t>
            </w:r>
          </w:p>
        </w:tc>
      </w:tr>
    </w:tbl>
    <w:p>
      <w:pPr>
        <w:spacing w:before="60" w:after="80"/>
        <w:jc w:val="both"/>
      </w:pPr>
      <w:r>
        <w:rPr>
          <w:rFonts w:ascii="Arial" w:cs="Arial" w:eastAsia="Arial" w:hAnsi="Arial"/>
          <w:sz w:val="22"/>
          <w:szCs w:val="22"/>
        </w:rPr>
        <w:t xml:space="preserve"/>
      </w:r>
    </w:p>
    <w:p>
      <w:pPr>
        <w:pStyle w:val="Heading2"/>
        <w:spacing w:before="220" w:after="100"/>
      </w:pPr>
      <w:r>
        <w:rPr>
          <w:rFonts w:ascii="Arial" w:cs="Arial" w:eastAsia="Arial" w:hAnsi="Arial"/>
          <w:b/>
          <w:bCs/>
          <w:color w:val="1D6B4E"/>
          <w:sz w:val="24"/>
          <w:szCs w:val="24"/>
        </w:rPr>
        <w:t xml:space="preserve">4.2 Cost Breakdown</w:t>
      </w:r>
    </w:p>
    <w:p>
      <w:pPr>
        <w:pStyle w:val="ListParagraph"/>
        <w:numPr>
          <w:ilvl w:val="0"/>
          <w:numId w:val="2"/>
        </w:numPr>
        <w:spacing w:before="40" w:after="60"/>
      </w:pPr>
      <w:r>
        <w:rPr>
          <w:rFonts w:ascii="Arial" w:cs="Arial" w:eastAsia="Arial" w:hAnsi="Arial"/>
          <w:sz w:val="22"/>
          <w:szCs w:val="22"/>
        </w:rPr>
        <w:t xml:space="preserve">Hardware per line: $45,000 (2x Jetson Orin edge devices, industrial enclosures, networking)</w:t>
      </w:r>
    </w:p>
    <w:p>
      <w:pPr>
        <w:pStyle w:val="ListParagraph"/>
        <w:numPr>
          <w:ilvl w:val="0"/>
          <w:numId w:val="2"/>
        </w:numPr>
        <w:spacing w:before="40" w:after="60"/>
      </w:pPr>
      <w:r>
        <w:rPr>
          <w:rFonts w:ascii="Arial" w:cs="Arial" w:eastAsia="Arial" w:hAnsi="Arial"/>
          <w:sz w:val="22"/>
          <w:szCs w:val="22"/>
        </w:rPr>
        <w:t xml:space="preserve">Software integration: $28,000 (MES API development, dashboard, OPC-UA connectors — one-time)</w:t>
      </w:r>
    </w:p>
    <w:p>
      <w:pPr>
        <w:pStyle w:val="ListParagraph"/>
        <w:numPr>
          <w:ilvl w:val="0"/>
          <w:numId w:val="2"/>
        </w:numPr>
        <w:spacing w:before="40" w:after="60"/>
      </w:pPr>
      <w:r>
        <w:rPr>
          <w:rFonts w:ascii="Arial" w:cs="Arial" w:eastAsia="Arial" w:hAnsi="Arial"/>
          <w:sz w:val="22"/>
          <w:szCs w:val="22"/>
        </w:rPr>
        <w:t xml:space="preserve">Training and onboarding: $12,000 (operator training, QC team ML literacy workshops)</w:t>
      </w:r>
    </w:p>
    <w:p>
      <w:pPr>
        <w:pStyle w:val="ListParagraph"/>
        <w:numPr>
          <w:ilvl w:val="0"/>
          <w:numId w:val="2"/>
        </w:numPr>
        <w:spacing w:before="40" w:after="60"/>
      </w:pPr>
      <w:r>
        <w:rPr>
          <w:rFonts w:ascii="Arial" w:cs="Arial" w:eastAsia="Arial" w:hAnsi="Arial"/>
          <w:sz w:val="22"/>
          <w:szCs w:val="22"/>
        </w:rPr>
        <w:t xml:space="preserve">Annual operating cost: $12,000 (cloud MLflow infrastructure, model updates, support SLA)</w:t>
      </w:r>
    </w:p>
    <w:p>
      <w:pPr>
        <w:pStyle w:val="ListParagraph"/>
        <w:numPr>
          <w:ilvl w:val="0"/>
          <w:numId w:val="2"/>
        </w:numPr>
        <w:spacing w:before="40" w:after="60"/>
      </w:pPr>
      <w:r>
        <w:rPr>
          <w:rFonts w:ascii="Arial" w:cs="Arial" w:eastAsia="Arial" w:hAnsi="Arial"/>
          <w:sz w:val="22"/>
          <w:szCs w:val="22"/>
        </w:rPr>
        <w:t xml:space="preserve">Total Year 1 per line: $97,000 | Year 2+: $12,000/year | Break-even: Month 14</w:t>
      </w:r>
    </w:p>
    <w:p>
      <w:pPr>
        <w:spacing w:before="60" w:after="80"/>
        <w:jc w:val="both"/>
      </w:pPr>
      <w:r>
        <w:rPr>
          <w:rFonts w:ascii="Arial" w:cs="Arial" w:eastAsia="Arial" w:hAnsi="Arial"/>
          <w:sz w:val="22"/>
          <w:szCs w:val="22"/>
        </w:rPr>
        <w:t xml:space="preserve"/>
      </w:r>
    </w:p>
    <w:p>
      <w:pPr>
        <w:pStyle w:val="Heading2"/>
        <w:spacing w:before="220" w:after="100"/>
      </w:pPr>
      <w:r>
        <w:rPr>
          <w:rFonts w:ascii="Arial" w:cs="Arial" w:eastAsia="Arial" w:hAnsi="Arial"/>
          <w:b/>
          <w:bCs/>
          <w:color w:val="1D6B4E"/>
          <w:sz w:val="24"/>
          <w:szCs w:val="24"/>
        </w:rPr>
        <w:t xml:space="preserve">4.3 Challenges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85A30" w:val="clear"/>
            <w:tcMar>
              <w:top w:type="dxa" w:w="100"/>
              <w:left w:type="dxa" w:w="150"/>
              <w:bottom w:type="dxa" w:w="100"/>
              <w:right w:type="dxa" w:w="150"/>
            </w:tcMar>
          </w:tcPr>
          <w:p>
            <w:r>
              <w:rPr>
                <w:rFonts w:ascii="Arial" w:cs="Arial" w:eastAsia="Arial" w:hAnsi="Arial"/>
                <w:b/>
                <w:bCs/>
                <w:color w:val="FFFFFF"/>
                <w:sz w:val="20"/>
                <w:szCs w:val="20"/>
              </w:rPr>
              <w:t xml:space="preserve">Challenge</w:t>
            </w:r>
          </w:p>
        </w:tc>
        <w:tc>
          <w:tcPr>
            <w:tcW w:type="dxa" w:w="6360"/>
            <w:tcBorders>
              <w:top w:val="single" w:color="CCCCCC" w:sz="1"/>
              <w:left w:val="single" w:color="CCCCCC" w:sz="1"/>
              <w:bottom w:val="single" w:color="CCCCCC" w:sz="1"/>
              <w:right w:val="single" w:color="CCCCCC" w:sz="1"/>
            </w:tcBorders>
            <w:shd w:fill="D85A30" w:val="clear"/>
            <w:tcMar>
              <w:top w:type="dxa" w:w="100"/>
              <w:left w:type="dxa" w:w="150"/>
              <w:bottom w:type="dxa" w:w="100"/>
              <w:right w:type="dxa" w:w="150"/>
            </w:tcMar>
          </w:tcPr>
          <w:p>
            <w:r>
              <w:rPr>
                <w:rFonts w:ascii="Arial" w:cs="Arial" w:eastAsia="Arial" w:hAnsi="Arial"/>
                <w:b/>
                <w:bCs/>
                <w:color w:val="FFFFFF"/>
                <w:sz w:val="20"/>
                <w:szCs w:val="20"/>
              </w:rPr>
              <w:t xml:space="preserve">Mitigation Strategy</w:t>
            </w:r>
          </w:p>
        </w:tc>
      </w:tr>
      <w:tr>
        <w:tc>
          <w:tcPr>
            <w:tcW w:type="dxa" w:w="3000"/>
            <w:tcBorders>
              <w:top w:val="single" w:color="CCCCCC" w:sz="1"/>
              <w:left w:val="single" w:color="CCCCCC" w:sz="1"/>
              <w:bottom w:val="single" w:color="CCCCCC" w:sz="1"/>
              <w:right w:val="single" w:color="CCCCCC" w:sz="1"/>
            </w:tcBorders>
            <w:shd w:fill="FAECE7" w:val="clear"/>
            <w:tcMar>
              <w:top w:type="dxa" w:w="100"/>
              <w:left w:type="dxa" w:w="150"/>
              <w:bottom w:type="dxa" w:w="100"/>
              <w:right w:type="dxa" w:w="150"/>
            </w:tcMar>
          </w:tcPr>
          <w:p>
            <w:r>
              <w:rPr>
                <w:rFonts w:ascii="Arial" w:cs="Arial" w:eastAsia="Arial" w:hAnsi="Arial"/>
                <w:b/>
                <w:bCs/>
                <w:color w:val="712B13"/>
                <w:sz w:val="20"/>
                <w:szCs w:val="20"/>
              </w:rPr>
              <w:t xml:space="preserve">Operator Resistance to AI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SHAP explainability removes the black box. Operators involved in threshold-setting during Phase 1 — ownership drives adoption</w:t>
            </w:r>
          </w:p>
        </w:tc>
      </w:tr>
      <w:tr>
        <w:tc>
          <w:tcPr>
            <w:tcW w:type="dxa" w:w="3000"/>
            <w:tcBorders>
              <w:top w:val="single" w:color="CCCCCC" w:sz="1"/>
              <w:left w:val="single" w:color="CCCCCC" w:sz="1"/>
              <w:bottom w:val="single" w:color="CCCCCC" w:sz="1"/>
              <w:right w:val="single" w:color="CCCCCC" w:sz="1"/>
            </w:tcBorders>
            <w:shd w:fill="FAECE7" w:val="clear"/>
            <w:tcMar>
              <w:top w:type="dxa" w:w="100"/>
              <w:left w:type="dxa" w:w="150"/>
              <w:bottom w:type="dxa" w:w="100"/>
              <w:right w:type="dxa" w:w="150"/>
            </w:tcMar>
          </w:tcPr>
          <w:p>
            <w:r>
              <w:rPr>
                <w:rFonts w:ascii="Arial" w:cs="Arial" w:eastAsia="Arial" w:hAnsi="Arial"/>
                <w:b/>
                <w:bCs/>
                <w:color w:val="712B13"/>
                <w:sz w:val="20"/>
                <w:szCs w:val="20"/>
              </w:rPr>
              <w:t xml:space="preserve">Real Data vs Synthetic Gap</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Phase 1 pilot collects 3,000+ real-world samples; monthly retraining continuously closes the synthetic-real distribution gap</w:t>
            </w:r>
          </w:p>
        </w:tc>
      </w:tr>
      <w:tr>
        <w:tc>
          <w:tcPr>
            <w:tcW w:type="dxa" w:w="3000"/>
            <w:tcBorders>
              <w:top w:val="single" w:color="CCCCCC" w:sz="1"/>
              <w:left w:val="single" w:color="CCCCCC" w:sz="1"/>
              <w:bottom w:val="single" w:color="CCCCCC" w:sz="1"/>
              <w:right w:val="single" w:color="CCCCCC" w:sz="1"/>
            </w:tcBorders>
            <w:shd w:fill="FAECE7" w:val="clear"/>
            <w:tcMar>
              <w:top w:type="dxa" w:w="100"/>
              <w:left w:type="dxa" w:w="150"/>
              <w:bottom w:type="dxa" w:w="100"/>
              <w:right w:type="dxa" w:w="150"/>
            </w:tcMar>
          </w:tcPr>
          <w:p>
            <w:r>
              <w:rPr>
                <w:rFonts w:ascii="Arial" w:cs="Arial" w:eastAsia="Arial" w:hAnsi="Arial"/>
                <w:b/>
                <w:bCs/>
                <w:color w:val="712B13"/>
                <w:sz w:val="20"/>
                <w:szCs w:val="20"/>
              </w:rPr>
              <w:t xml:space="preserve">Sensor Calibration Drift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Automated sensor health monitoring with alerting; model confidence scores drop when sensor readings fall outside training distribution</w:t>
            </w:r>
          </w:p>
        </w:tc>
      </w:tr>
      <w:tr>
        <w:tc>
          <w:tcPr>
            <w:tcW w:type="dxa" w:w="3000"/>
            <w:tcBorders>
              <w:top w:val="single" w:color="CCCCCC" w:sz="1"/>
              <w:left w:val="single" w:color="CCCCCC" w:sz="1"/>
              <w:bottom w:val="single" w:color="CCCCCC" w:sz="1"/>
              <w:right w:val="single" w:color="CCCCCC" w:sz="1"/>
            </w:tcBorders>
            <w:shd w:fill="FAECE7" w:val="clear"/>
            <w:tcMar>
              <w:top w:type="dxa" w:w="100"/>
              <w:left w:type="dxa" w:w="150"/>
              <w:bottom w:type="dxa" w:w="100"/>
              <w:right w:type="dxa" w:w="150"/>
            </w:tcMar>
          </w:tcPr>
          <w:p>
            <w:r>
              <w:rPr>
                <w:rFonts w:ascii="Arial" w:cs="Arial" w:eastAsia="Arial" w:hAnsi="Arial"/>
                <w:b/>
                <w:bCs/>
                <w:color w:val="712B13"/>
                <w:sz w:val="20"/>
                <w:szCs w:val="20"/>
              </w:rPr>
              <w:t xml:space="preserve">MES Integration Complexity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Standard REST API with JSON schema; MES vendor partnership program; dedicated integration specialist in Phase 2</w:t>
            </w:r>
          </w:p>
        </w:tc>
      </w:tr>
      <w:tr>
        <w:tc>
          <w:tcPr>
            <w:tcW w:type="dxa" w:w="3000"/>
            <w:tcBorders>
              <w:top w:val="single" w:color="CCCCCC" w:sz="1"/>
              <w:left w:val="single" w:color="CCCCCC" w:sz="1"/>
              <w:bottom w:val="single" w:color="CCCCCC" w:sz="1"/>
              <w:right w:val="single" w:color="CCCCCC" w:sz="1"/>
            </w:tcBorders>
            <w:shd w:fill="FAECE7" w:val="clear"/>
            <w:tcMar>
              <w:top w:type="dxa" w:w="100"/>
              <w:left w:type="dxa" w:w="150"/>
              <w:bottom w:type="dxa" w:w="100"/>
              <w:right w:type="dxa" w:w="150"/>
            </w:tcMar>
          </w:tcPr>
          <w:p>
            <w:r>
              <w:rPr>
                <w:rFonts w:ascii="Arial" w:cs="Arial" w:eastAsia="Arial" w:hAnsi="Arial"/>
                <w:b/>
                <w:bCs/>
                <w:color w:val="712B13"/>
                <w:sz w:val="20"/>
                <w:szCs w:val="20"/>
              </w:rPr>
              <w:t xml:space="preserve">Model Degradation Over Time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MLflow model versioning with A/B testing; automatic rollback if new model F1 drops &gt; 2% on validation set</w:t>
            </w:r>
          </w:p>
        </w:tc>
      </w:tr>
      <w:tr>
        <w:tc>
          <w:tcPr>
            <w:tcW w:type="dxa" w:w="3000"/>
            <w:tcBorders>
              <w:top w:val="single" w:color="CCCCCC" w:sz="1"/>
              <w:left w:val="single" w:color="CCCCCC" w:sz="1"/>
              <w:bottom w:val="single" w:color="CCCCCC" w:sz="1"/>
              <w:right w:val="single" w:color="CCCCCC" w:sz="1"/>
            </w:tcBorders>
            <w:shd w:fill="FAECE7" w:val="clear"/>
            <w:tcMar>
              <w:top w:type="dxa" w:w="100"/>
              <w:left w:type="dxa" w:w="150"/>
              <w:bottom w:type="dxa" w:w="100"/>
              <w:right w:type="dxa" w:w="150"/>
            </w:tcMar>
          </w:tcPr>
          <w:p>
            <w:r>
              <w:rPr>
                <w:rFonts w:ascii="Arial" w:cs="Arial" w:eastAsia="Arial" w:hAnsi="Arial"/>
                <w:b/>
                <w:bCs/>
                <w:color w:val="712B13"/>
                <w:sz w:val="20"/>
                <w:szCs w:val="20"/>
              </w:rPr>
              <w:t xml:space="preserve">Data Privacy / IP Concerns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Edge-first architecture means no raw production data leaves the factory floor; only anonymized model gradients are used for cloud retraining</w:t>
            </w:r>
          </w:p>
        </w:tc>
      </w:tr>
    </w:tbl>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
      </w:r>
    </w:p>
    <w:p>
      <w:pPr>
        <w:shd w:fill="185FA5" w:val="clear"/>
        <w:spacing w:before="200" w:after="0"/>
        <w:jc w:val="center"/>
      </w:pPr>
      <w:r>
        <w:rPr>
          <w:rFonts w:ascii="Arial" w:cs="Arial" w:eastAsia="Arial" w:hAnsi="Arial"/>
          <w:b/>
          <w:bCs/>
          <w:color w:val="FFFFFF"/>
          <w:sz w:val="22"/>
          <w:szCs w:val="22"/>
        </w:rPr>
        <w:t xml:space="preserve">Maximum Score Target: Solution (30 pts) + Sustainability &amp; Innovation (15 pts) = 45/45</w:t>
      </w:r>
    </w:p>
    <w:p>
      <w:pPr>
        <w:shd w:fill="0C447C" w:val="clear"/>
        <w:spacing w:before="0" w:after="0"/>
        <w:jc w:val="center"/>
      </w:pPr>
      <w:r>
        <w:rPr>
          <w:rFonts w:ascii="Arial" w:cs="Arial" w:eastAsia="Arial" w:hAnsi="Arial"/>
          <w:color w:val="FFFFFF"/>
          <w:sz w:val="20"/>
          <w:szCs w:val="20"/>
        </w:rPr>
        <w:t xml:space="preserve">AssembleIQ — Bridging Academic ML Theory and Real-World Industrial Application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Hackathon Submission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8"/>
        <w:szCs w:val="18"/>
      </w:rPr>
      <w:t xml:space="preserve">AssembleIQ — Proposed Solution | EV &amp; Hydrogen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85FA5"/>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1D6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2026-03-18T07:32:41.255Z</dcterms:created>
  <dcterms:modified xsi:type="dcterms:W3CDTF">2026-03-18T07:32:41.257Z</dcterms:modified>
</cp:coreProperties>
</file>

<file path=docProps/custom.xml><?xml version="1.0" encoding="utf-8"?>
<Properties xmlns="http://schemas.openxmlformats.org/officeDocument/2006/custom-properties" xmlns:vt="http://schemas.openxmlformats.org/officeDocument/2006/docPropsVTypes"/>
</file>