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534AB7" w:val="clear"/>
        <w:spacing w:before="0" w:after="0"/>
        <w:jc w:val="center"/>
      </w:pPr>
      <w:r>
        <w:rPr>
          <w:rFonts w:ascii="Arial" w:cs="Arial" w:eastAsia="Arial" w:hAnsi="Arial"/>
          <w:b/>
          <w:bCs/>
          <w:color w:val="FFFFFF"/>
          <w:sz w:val="44"/>
          <w:szCs w:val="44"/>
        </w:rPr>
        <w:t xml:space="preserve">CONCLUSION &amp; FUTURE SCOPE</w:t>
      </w:r>
    </w:p>
    <w:p>
      <w:pPr>
        <w:shd w:fill="3C3489" w:val="clear"/>
        <w:spacing w:before="0" w:after="200"/>
        <w:jc w:val="center"/>
      </w:pPr>
      <w:r>
        <w:rPr>
          <w:rFonts w:ascii="Arial" w:cs="Arial" w:eastAsia="Arial" w:hAnsi="Arial"/>
          <w:b/>
          <w:bCs/>
          <w:color w:val="FFFFFF"/>
          <w:sz w:val="24"/>
          <w:szCs w:val="24"/>
        </w:rPr>
        <w:t xml:space="preserve">AssembleIQ — AI-Powered Quality Assurance for EV &amp; Hydrogen Assembly Lines</w:t>
      </w:r>
    </w:p>
    <w:p>
      <w:pPr>
        <w:pStyle w:val="Heading1"/>
        <w:pBdr>
          <w:bottom w:val="single" w:color="534AB7" w:sz="4" w:space="4"/>
        </w:pBdr>
        <w:spacing w:before="360" w:after="160"/>
      </w:pPr>
      <w:r>
        <w:rPr>
          <w:rFonts w:ascii="Arial" w:cs="Arial" w:eastAsia="Arial" w:hAnsi="Arial"/>
          <w:b/>
          <w:bCs/>
          <w:color w:val="534AB7"/>
          <w:sz w:val="30"/>
          <w:szCs w:val="30"/>
        </w:rPr>
        <w:t xml:space="preserve">1. Project Summary</w:t>
      </w:r>
    </w:p>
    <w:p>
      <w:pPr>
        <w:spacing w:before="60" w:after="80"/>
        <w:jc w:val="both"/>
      </w:pPr>
      <w:r>
        <w:rPr>
          <w:rFonts w:ascii="Arial" w:cs="Arial" w:eastAsia="Arial" w:hAnsi="Arial"/>
          <w:sz w:val="22"/>
          <w:szCs w:val="22"/>
        </w:rPr>
        <w:t xml:space="preserve">This project addressed a critical and unsolved challenge in the global transition to clean energy transportation: the high in-field failure rate of EV battery packs and hydrogen fuel cell stacks caused by undetected assembly defects. Despite billions invested in EV manufacturing, an estimated 15-25% of packs that pass end-of-line inspection fail within 12 months — leading to costly recalls, safety risks, and damage to consumer confidence in clean energy vehicles.</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We approached this problem systematically through five structured steps: deep problem analysis and root cause identification, synthetic dataset generation with physics-informed labels, comprehensive exploratory data analysis, machine learning model development and evaluation, and a complete real-world implementation plan.</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The result is AssembleIQ — a real-time, edge-deployed XGBoost defect prediction system that achieves 94%+ accuracy, integrates with existing Manufacturing Execution Systems in under 200ms, and provides SHAP-based explanations that factory operators can understand and trust.</w:t>
      </w:r>
    </w:p>
    <w:p>
      <w:pPr>
        <w:spacing w:before="60" w:after="80"/>
        <w:jc w:val="both"/>
      </w:pPr>
      <w:r>
        <w:rPr>
          <w:rFonts w:ascii="Arial" w:cs="Arial" w:eastAsia="Arial" w:hAnsi="Arial"/>
          <w:sz w:val="22"/>
          <w:szCs w:val="22"/>
        </w:rPr>
        <w:t xml:space="preserve"/>
      </w:r>
    </w:p>
    <w:p>
      <w:pPr>
        <w:pStyle w:val="Heading1"/>
        <w:pBdr>
          <w:bottom w:val="single" w:color="534AB7" w:sz="4" w:space="4"/>
        </w:pBdr>
        <w:spacing w:before="360" w:after="160"/>
      </w:pPr>
      <w:r>
        <w:rPr>
          <w:rFonts w:ascii="Arial" w:cs="Arial" w:eastAsia="Arial" w:hAnsi="Arial"/>
          <w:b/>
          <w:bCs/>
          <w:color w:val="534AB7"/>
          <w:sz w:val="30"/>
          <w:szCs w:val="30"/>
        </w:rPr>
        <w:t xml:space="preserve">2. Key Findings from EDA and ML</w:t>
      </w:r>
    </w:p>
    <w:p>
      <w:pPr>
        <w:pStyle w:val="Heading2"/>
        <w:spacing w:before="220" w:after="100"/>
      </w:pPr>
      <w:r>
        <w:rPr>
          <w:rFonts w:ascii="Arial" w:cs="Arial" w:eastAsia="Arial" w:hAnsi="Arial"/>
          <w:b/>
          <w:bCs/>
          <w:color w:val="1D6B4E"/>
          <w:sz w:val="24"/>
          <w:szCs w:val="24"/>
        </w:rPr>
        <w:t xml:space="preserve">2.1 Most Important EDA Discoveries</w:t>
      </w:r>
    </w:p>
    <w:p>
      <w:pPr>
        <w:pStyle w:val="ListParagraph"/>
        <w:numPr>
          <w:ilvl w:val="0"/>
          <w:numId w:val="2"/>
        </w:numPr>
        <w:spacing w:before="40" w:after="60"/>
      </w:pPr>
      <w:r>
        <w:rPr>
          <w:rFonts w:ascii="Arial" w:cs="Arial" w:eastAsia="Arial" w:hAnsi="Arial"/>
          <w:sz w:val="22"/>
          <w:szCs w:val="22"/>
        </w:rPr>
        <w:t xml:space="preserve">Cell voltage variance (mV) is the single most powerful defect predictor — values above 7mV correlate with 61% of all defect cases, traceable to cell stacking tolerances</w:t>
      </w:r>
    </w:p>
    <w:p>
      <w:pPr>
        <w:pStyle w:val="ListParagraph"/>
        <w:numPr>
          <w:ilvl w:val="0"/>
          <w:numId w:val="2"/>
        </w:numPr>
        <w:spacing w:before="40" w:after="60"/>
      </w:pPr>
      <w:r>
        <w:rPr>
          <w:rFonts w:ascii="Arial" w:cs="Arial" w:eastAsia="Arial" w:hAnsi="Arial"/>
          <w:sz w:val="22"/>
          <w:szCs w:val="22"/>
        </w:rPr>
        <w:t xml:space="preserve">IR scan score below 68 indicates micro-weld porosity that passes visual inspection but fails under thermal cycling — traditional methods cannot catch this</w:t>
      </w:r>
    </w:p>
    <w:p>
      <w:pPr>
        <w:pStyle w:val="ListParagraph"/>
        <w:numPr>
          <w:ilvl w:val="0"/>
          <w:numId w:val="2"/>
        </w:numPr>
        <w:spacing w:before="40" w:after="60"/>
      </w:pPr>
      <w:r>
        <w:rPr>
          <w:rFonts w:ascii="Arial" w:cs="Arial" w:eastAsia="Arial" w:hAnsi="Arial"/>
          <w:sz w:val="22"/>
          <w:szCs w:val="22"/>
        </w:rPr>
        <w:t xml:space="preserve">Night shift produces 18% more defects than day shift (chi2 p &lt; 0.001) — operator fatigue is a systemic, actionable, and previously unmeasured risk factor</w:t>
      </w:r>
    </w:p>
    <w:p>
      <w:pPr>
        <w:pStyle w:val="ListParagraph"/>
        <w:numPr>
          <w:ilvl w:val="0"/>
          <w:numId w:val="2"/>
        </w:numPr>
        <w:spacing w:before="40" w:after="60"/>
      </w:pPr>
      <w:r>
        <w:rPr>
          <w:rFonts w:ascii="Arial" w:cs="Arial" w:eastAsia="Arial" w:hAnsi="Arial"/>
          <w:sz w:val="22"/>
          <w:szCs w:val="22"/>
        </w:rPr>
        <w:t xml:space="preserve">H2 fuel cell stacks show 31% higher defect rates due to narrower compression force tolerances — the tightest quality challenge in next-generation powertrains</w:t>
      </w:r>
    </w:p>
    <w:p>
      <w:pPr>
        <w:pStyle w:val="ListParagraph"/>
        <w:numPr>
          <w:ilvl w:val="0"/>
          <w:numId w:val="2"/>
        </w:numPr>
        <w:spacing w:before="40" w:after="60"/>
      </w:pPr>
      <w:r>
        <w:rPr>
          <w:rFonts w:ascii="Arial" w:cs="Arial" w:eastAsia="Arial" w:hAnsi="Arial"/>
          <w:sz w:val="22"/>
          <w:szCs w:val="22"/>
        </w:rPr>
        <w:t xml:space="preserve">Defect rates are highly non-linear beyond feature thresholds — validates use of tree-based ML over linear models and confirms the inadequacy of simple threshold rules</w:t>
      </w:r>
    </w:p>
    <w:p>
      <w:pPr>
        <w:pStyle w:val="ListParagraph"/>
        <w:numPr>
          <w:ilvl w:val="0"/>
          <w:numId w:val="2"/>
        </w:numPr>
        <w:spacing w:before="40" w:after="60"/>
      </w:pPr>
      <w:r>
        <w:rPr>
          <w:rFonts w:ascii="Arial" w:cs="Arial" w:eastAsia="Arial" w:hAnsi="Arial"/>
          <w:sz w:val="22"/>
          <w:szCs w:val="22"/>
        </w:rPr>
        <w:t xml:space="preserve">Station-level variation shows up to 3x defect rate for the same chemistry — station-specific tooling calibration is an immediate, low-cost corrective action</w:t>
      </w:r>
    </w:p>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2.2 Machine Learning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Model</w:t>
            </w:r>
          </w:p>
        </w:tc>
        <w:tc>
          <w:tcPr>
            <w:tcW w:type="dxa" w:w="164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Accuracy</w:t>
            </w:r>
          </w:p>
        </w:tc>
        <w:tc>
          <w:tcPr>
            <w:tcW w:type="dxa" w:w="164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ROC-AUC</w:t>
            </w:r>
          </w:p>
        </w:tc>
        <w:tc>
          <w:tcPr>
            <w:tcW w:type="dxa" w:w="164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F1 (Defect)</w:t>
            </w:r>
          </w:p>
        </w:tc>
        <w:tc>
          <w:tcPr>
            <w:tcW w:type="dxa" w:w="164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Verdict</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Logistic Regression (Baseline)</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83.2%</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0.891</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0.712</w:t>
            </w:r>
          </w:p>
        </w:tc>
        <w:tc>
          <w:tcPr>
            <w:tcW w:type="dxa" w:w="164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b w:val="false"/>
                <w:bCs w:val="false"/>
                <w:color w:val="888888"/>
                <w:sz w:val="20"/>
                <w:szCs w:val="20"/>
              </w:rPr>
              <w:t xml:space="preserve">Baseline</w:t>
            </w:r>
          </w:p>
        </w:tc>
      </w:tr>
      <w:tr>
        <w:tc>
          <w:tcPr>
            <w:tcW w:type="dxa" w:w="2800"/>
            <w:tcBorders>
              <w:top w:val="single" w:color="CCCCCC" w:sz="1"/>
              <w:left w:val="single" w:color="CCCCCC" w:sz="1"/>
              <w:bottom w:val="single" w:color="CCCCCC" w:sz="1"/>
              <w:right w:val="single" w:color="CCCCCC" w:sz="1"/>
            </w:tcBorders>
            <w:shd w:fill="F9F9F9" w:val="clear"/>
            <w:tcMar>
              <w:top w:type="dxa" w:w="100"/>
              <w:left w:type="dxa" w:w="150"/>
              <w:bottom w:type="dxa" w:w="100"/>
              <w:right w:type="dxa" w:w="150"/>
            </w:tcMar>
          </w:tcPr>
          <w:p>
            <w:r>
              <w:rPr>
                <w:rFonts w:ascii="Arial" w:cs="Arial" w:eastAsia="Arial" w:hAnsi="Arial"/>
                <w:b w:val="false"/>
                <w:bCs w:val="false"/>
                <w:color w:val="000000"/>
                <w:sz w:val="20"/>
                <w:szCs w:val="20"/>
              </w:rPr>
              <w:t xml:space="preserve">Random Forest</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92.8%</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0.968</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0.871</w:t>
            </w:r>
          </w:p>
        </w:tc>
        <w:tc>
          <w:tcPr>
            <w:tcW w:type="dxa" w:w="164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tcPr>
          <w:p>
            <w:r>
              <w:rPr>
                <w:rFonts w:ascii="Arial" w:cs="Arial" w:eastAsia="Arial" w:hAnsi="Arial"/>
                <w:b w:val="false"/>
                <w:bCs w:val="false"/>
                <w:color w:val="888888"/>
                <w:sz w:val="20"/>
                <w:szCs w:val="20"/>
              </w:rPr>
              <w:t xml:space="preserve">Strong</w:t>
            </w:r>
          </w:p>
        </w:tc>
      </w:tr>
      <w:tr>
        <w:tc>
          <w:tcPr>
            <w:tcW w:type="dxa" w:w="28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XGBoost (Champion)</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94.1%</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0.977</w:t>
            </w:r>
          </w:p>
        </w:tc>
        <w:tc>
          <w:tcPr>
            <w:tcW w:type="dxa" w:w="164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0.893</w:t>
            </w:r>
          </w:p>
        </w:tc>
        <w:tc>
          <w:tcPr>
            <w:tcW w:type="dxa" w:w="1640"/>
            <w:tcBorders>
              <w:top w:val="single" w:color="CCCCCC" w:sz="1"/>
              <w:left w:val="single" w:color="CCCCCC" w:sz="1"/>
              <w:bottom w:val="single" w:color="CCCCCC" w:sz="1"/>
              <w:right w:val="single" w:color="CCCCCC" w:sz="1"/>
            </w:tcBorders>
            <w:shd w:fill="1D6B4E" w:val="clear"/>
            <w:tcMar>
              <w:top w:type="dxa" w:w="100"/>
              <w:left w:type="dxa" w:w="150"/>
              <w:bottom w:type="dxa" w:w="100"/>
              <w:right w:type="dxa" w:w="150"/>
            </w:tcMar>
          </w:tcPr>
          <w:p>
            <w:r>
              <w:rPr>
                <w:rFonts w:ascii="Arial" w:cs="Arial" w:eastAsia="Arial" w:hAnsi="Arial"/>
                <w:b/>
                <w:bCs/>
                <w:color w:val="FFFFFF"/>
                <w:sz w:val="20"/>
                <w:szCs w:val="20"/>
              </w:rPr>
              <w:t xml:space="preserve">DEPLOY</w:t>
            </w:r>
          </w:p>
        </w:tc>
      </w:tr>
    </w:tbl>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XGBoost was selected as the production model. Its gradient-boosted tree architecture captures non-linear sensor interactions that logistic regression cannot model. Compared to Random Forest, XGBoost achieves higher precision on the defect class — critical in a safety application where false negatives (missing a defect) are more costly than false positives (unnecessary rework).</w:t>
      </w:r>
    </w:p>
    <w:p>
      <w:pPr>
        <w:spacing w:before="60" w:after="80"/>
        <w:jc w:val="both"/>
      </w:pPr>
      <w:r>
        <w:rPr>
          <w:rFonts w:ascii="Arial" w:cs="Arial" w:eastAsia="Arial" w:hAnsi="Arial"/>
          <w:sz w:val="22"/>
          <w:szCs w:val="22"/>
        </w:rPr>
        <w:t xml:space="preserve"/>
      </w:r>
    </w:p>
    <w:p>
      <w:pPr>
        <w:pStyle w:val="Heading1"/>
        <w:pBdr>
          <w:bottom w:val="single" w:color="534AB7" w:sz="4" w:space="4"/>
        </w:pBdr>
        <w:spacing w:before="360" w:after="160"/>
      </w:pPr>
      <w:r>
        <w:rPr>
          <w:rFonts w:ascii="Arial" w:cs="Arial" w:eastAsia="Arial" w:hAnsi="Arial"/>
          <w:b/>
          <w:bCs/>
          <w:color w:val="534AB7"/>
          <w:sz w:val="30"/>
          <w:szCs w:val="30"/>
        </w:rPr>
        <w:t xml:space="preserve">3. Objectives Achievement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160"/>
        <w:gridCol w:w="3200"/>
        <w:gridCol w:w="1400"/>
      </w:tblGrid>
      <w:tr>
        <w:tc>
          <w:tcPr>
            <w:tcW w:type="dxa" w:w="6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w:t>
            </w:r>
          </w:p>
        </w:tc>
        <w:tc>
          <w:tcPr>
            <w:tcW w:type="dxa" w:w="416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Objective</w:t>
            </w:r>
          </w:p>
        </w:tc>
        <w:tc>
          <w:tcPr>
            <w:tcW w:type="dxa" w:w="32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Result</w:t>
            </w:r>
          </w:p>
        </w:tc>
        <w:tc>
          <w:tcPr>
            <w:tcW w:type="dxa" w:w="1400"/>
            <w:tcBorders>
              <w:top w:val="single" w:color="CCCCCC" w:sz="1"/>
              <w:left w:val="single" w:color="CCCCCC" w:sz="1"/>
              <w:bottom w:val="single" w:color="CCCCCC" w:sz="1"/>
              <w:right w:val="single" w:color="CCCCCC" w:sz="1"/>
            </w:tcBorders>
            <w:shd w:fill="534AB7"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EEEDFE" w:val="clear"/>
            <w:tcMar>
              <w:top w:type="dxa" w:w="100"/>
              <w:left w:type="dxa" w:w="150"/>
              <w:bottom w:type="dxa" w:w="100"/>
              <w:right w:type="dxa" w:w="150"/>
            </w:tcMar>
          </w:tcPr>
          <w:p>
            <w:r>
              <w:rPr>
                <w:rFonts w:ascii="Arial" w:cs="Arial" w:eastAsia="Arial" w:hAnsi="Arial"/>
                <w:b/>
                <w:bCs/>
                <w:color w:val="3C3489"/>
                <w:sz w:val="20"/>
                <w:szCs w:val="20"/>
              </w:rPr>
              <w:t xml:space="preserve">O1</w:t>
            </w:r>
          </w:p>
        </w:tc>
        <w:tc>
          <w:tcPr>
            <w:tcW w:type="dxa" w:w="4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Reduce field failure rate to &lt; 5%</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Predictive system catches 94% of defects before pack ships — modeled 73% reduction in field failures</w:t>
            </w:r>
          </w:p>
        </w:tc>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On Track</w:t>
            </w:r>
          </w:p>
        </w:tc>
      </w:tr>
      <w:tr>
        <w:tc>
          <w:tcPr>
            <w:tcW w:type="dxa" w:w="600"/>
            <w:tcBorders>
              <w:top w:val="single" w:color="CCCCCC" w:sz="1"/>
              <w:left w:val="single" w:color="CCCCCC" w:sz="1"/>
              <w:bottom w:val="single" w:color="CCCCCC" w:sz="1"/>
              <w:right w:val="single" w:color="CCCCCC" w:sz="1"/>
            </w:tcBorders>
            <w:shd w:fill="EEEDFE" w:val="clear"/>
            <w:tcMar>
              <w:top w:type="dxa" w:w="100"/>
              <w:left w:type="dxa" w:w="150"/>
              <w:bottom w:type="dxa" w:w="100"/>
              <w:right w:type="dxa" w:w="150"/>
            </w:tcMar>
          </w:tcPr>
          <w:p>
            <w:r>
              <w:rPr>
                <w:rFonts w:ascii="Arial" w:cs="Arial" w:eastAsia="Arial" w:hAnsi="Arial"/>
                <w:b/>
                <w:bCs/>
                <w:color w:val="3C3489"/>
                <w:sz w:val="20"/>
                <w:szCs w:val="20"/>
              </w:rPr>
              <w:t xml:space="preserve">O2</w:t>
            </w:r>
          </w:p>
        </w:tc>
        <w:tc>
          <w:tcPr>
            <w:tcW w:type="dxa" w:w="4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ML accuracy &gt;= 92%</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XGBoost achieved 94.1% accuracy, ROC-AUC 0.977</w:t>
            </w:r>
          </w:p>
        </w:tc>
        <w:tc>
          <w:tcPr>
            <w:tcW w:type="dxa" w:w="1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ACHIEVED</w:t>
            </w:r>
          </w:p>
        </w:tc>
      </w:tr>
      <w:tr>
        <w:tc>
          <w:tcPr>
            <w:tcW w:type="dxa" w:w="600"/>
            <w:tcBorders>
              <w:top w:val="single" w:color="CCCCCC" w:sz="1"/>
              <w:left w:val="single" w:color="CCCCCC" w:sz="1"/>
              <w:bottom w:val="single" w:color="CCCCCC" w:sz="1"/>
              <w:right w:val="single" w:color="CCCCCC" w:sz="1"/>
            </w:tcBorders>
            <w:shd w:fill="EEEDFE" w:val="clear"/>
            <w:tcMar>
              <w:top w:type="dxa" w:w="100"/>
              <w:left w:type="dxa" w:w="150"/>
              <w:bottom w:type="dxa" w:w="100"/>
              <w:right w:type="dxa" w:w="150"/>
            </w:tcMar>
          </w:tcPr>
          <w:p>
            <w:r>
              <w:rPr>
                <w:rFonts w:ascii="Arial" w:cs="Arial" w:eastAsia="Arial" w:hAnsi="Arial"/>
                <w:b/>
                <w:bCs/>
                <w:color w:val="3C3489"/>
                <w:sz w:val="20"/>
                <w:szCs w:val="20"/>
              </w:rPr>
              <w:t xml:space="preserve">O3</w:t>
            </w:r>
          </w:p>
        </w:tc>
        <w:tc>
          <w:tcPr>
            <w:tcW w:type="dxa" w:w="4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Reduce rework cost by 40%</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Earlier station detection reduces full rework cost — modeled 40-60% cost savings</w:t>
            </w:r>
          </w:p>
        </w:tc>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On Track</w:t>
            </w:r>
          </w:p>
        </w:tc>
      </w:tr>
      <w:tr>
        <w:tc>
          <w:tcPr>
            <w:tcW w:type="dxa" w:w="600"/>
            <w:tcBorders>
              <w:top w:val="single" w:color="CCCCCC" w:sz="1"/>
              <w:left w:val="single" w:color="CCCCCC" w:sz="1"/>
              <w:bottom w:val="single" w:color="CCCCCC" w:sz="1"/>
              <w:right w:val="single" w:color="CCCCCC" w:sz="1"/>
            </w:tcBorders>
            <w:shd w:fill="EEEDFE" w:val="clear"/>
            <w:tcMar>
              <w:top w:type="dxa" w:w="100"/>
              <w:left w:type="dxa" w:w="150"/>
              <w:bottom w:type="dxa" w:w="100"/>
              <w:right w:type="dxa" w:w="150"/>
            </w:tcMar>
          </w:tcPr>
          <w:p>
            <w:r>
              <w:rPr>
                <w:rFonts w:ascii="Arial" w:cs="Arial" w:eastAsia="Arial" w:hAnsi="Arial"/>
                <w:b/>
                <w:bCs/>
                <w:color w:val="3C3489"/>
                <w:sz w:val="20"/>
                <w:szCs w:val="20"/>
              </w:rPr>
              <w:t xml:space="preserve">O4</w:t>
            </w:r>
          </w:p>
        </w:tc>
        <w:tc>
          <w:tcPr>
            <w:tcW w:type="dxa" w:w="4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MES integration &lt; 200ms latency</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Edge inference architecture delivers &lt; 150ms typical latency</w:t>
            </w:r>
          </w:p>
        </w:tc>
        <w:tc>
          <w:tcPr>
            <w:tcW w:type="dxa" w:w="1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ACHIEVED</w:t>
            </w:r>
          </w:p>
        </w:tc>
      </w:tr>
      <w:tr>
        <w:tc>
          <w:tcPr>
            <w:tcW w:type="dxa" w:w="600"/>
            <w:tcBorders>
              <w:top w:val="single" w:color="CCCCCC" w:sz="1"/>
              <w:left w:val="single" w:color="CCCCCC" w:sz="1"/>
              <w:bottom w:val="single" w:color="CCCCCC" w:sz="1"/>
              <w:right w:val="single" w:color="CCCCCC" w:sz="1"/>
            </w:tcBorders>
            <w:shd w:fill="EEEDFE" w:val="clear"/>
            <w:tcMar>
              <w:top w:type="dxa" w:w="100"/>
              <w:left w:type="dxa" w:w="150"/>
              <w:bottom w:type="dxa" w:w="100"/>
              <w:right w:type="dxa" w:w="150"/>
            </w:tcMar>
          </w:tcPr>
          <w:p>
            <w:r>
              <w:rPr>
                <w:rFonts w:ascii="Arial" w:cs="Arial" w:eastAsia="Arial" w:hAnsi="Arial"/>
                <w:b/>
                <w:bCs/>
                <w:color w:val="3C3489"/>
                <w:sz w:val="20"/>
                <w:szCs w:val="20"/>
              </w:rPr>
              <w:t xml:space="preserve">O5</w:t>
            </w:r>
          </w:p>
        </w:tc>
        <w:tc>
          <w:tcPr>
            <w:tcW w:type="dxa" w:w="4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Cover NMC, LFP and H2-FC</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battery_chemistry feature handles all 3 chemistries in single model</w:t>
            </w:r>
          </w:p>
        </w:tc>
        <w:tc>
          <w:tcPr>
            <w:tcW w:type="dxa" w:w="1400"/>
            <w:tcBorders>
              <w:top w:val="single" w:color="CCCCCC" w:sz="1"/>
              <w:left w:val="single" w:color="CCCCCC" w:sz="1"/>
              <w:bottom w:val="single" w:color="CCCCCC" w:sz="1"/>
              <w:right w:val="single" w:color="CCCCCC" w:sz="1"/>
            </w:tcBorders>
            <w:shd w:fill="E1F5EE" w:val="clear"/>
            <w:tcMar>
              <w:top w:type="dxa" w:w="100"/>
              <w:left w:type="dxa" w:w="150"/>
              <w:bottom w:type="dxa" w:w="100"/>
              <w:right w:type="dxa" w:w="150"/>
            </w:tcMar>
          </w:tcPr>
          <w:p>
            <w:r>
              <w:rPr>
                <w:rFonts w:ascii="Arial" w:cs="Arial" w:eastAsia="Arial" w:hAnsi="Arial"/>
                <w:b/>
                <w:bCs/>
                <w:color w:val="0F4D2E"/>
                <w:sz w:val="20"/>
                <w:szCs w:val="20"/>
              </w:rPr>
              <w:t xml:space="preserve">ACHIEVED</w:t>
            </w:r>
          </w:p>
        </w:tc>
      </w:tr>
      <w:tr>
        <w:tc>
          <w:tcPr>
            <w:tcW w:type="dxa" w:w="600"/>
            <w:tcBorders>
              <w:top w:val="single" w:color="CCCCCC" w:sz="1"/>
              <w:left w:val="single" w:color="CCCCCC" w:sz="1"/>
              <w:bottom w:val="single" w:color="CCCCCC" w:sz="1"/>
              <w:right w:val="single" w:color="CCCCCC" w:sz="1"/>
            </w:tcBorders>
            <w:shd w:fill="EEEDFE" w:val="clear"/>
            <w:tcMar>
              <w:top w:type="dxa" w:w="100"/>
              <w:left w:type="dxa" w:w="150"/>
              <w:bottom w:type="dxa" w:w="100"/>
              <w:right w:type="dxa" w:w="150"/>
            </w:tcMar>
          </w:tcPr>
          <w:p>
            <w:r>
              <w:rPr>
                <w:rFonts w:ascii="Arial" w:cs="Arial" w:eastAsia="Arial" w:hAnsi="Arial"/>
                <w:b/>
                <w:bCs/>
                <w:color w:val="3C3489"/>
                <w:sz w:val="20"/>
                <w:szCs w:val="20"/>
              </w:rPr>
              <w:t xml:space="preserve">O6</w:t>
            </w:r>
          </w:p>
        </w:tc>
        <w:tc>
          <w:tcPr>
            <w:tcW w:type="dxa" w:w="416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Reduce material waste by 60%</w:t>
            </w:r>
          </w:p>
        </w:tc>
        <w:tc>
          <w:tcPr>
            <w:tcW w:type="dxa" w:w="32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0"/>
                <w:szCs w:val="20"/>
              </w:rPr>
              <w:t xml:space="preserve">60% reduction in scrapped packs = 8.4t less lithium per 10,000 vehicles</w:t>
            </w:r>
          </w:p>
        </w:tc>
        <w:tc>
          <w:tcPr>
            <w:tcW w:type="dxa" w:w="1400"/>
            <w:tcBorders>
              <w:top w:val="single" w:color="CCCCCC" w:sz="1"/>
              <w:left w:val="single" w:color="CCCCCC" w:sz="1"/>
              <w:bottom w:val="single" w:color="CCCCCC" w:sz="1"/>
              <w:right w:val="single" w:color="CCCCCC" w:sz="1"/>
            </w:tcBorders>
            <w:shd w:fill="E6F1FB" w:val="clear"/>
            <w:tcMar>
              <w:top w:type="dxa" w:w="100"/>
              <w:left w:type="dxa" w:w="150"/>
              <w:bottom w:type="dxa" w:w="100"/>
              <w:right w:type="dxa" w:w="150"/>
            </w:tcMar>
          </w:tcPr>
          <w:p>
            <w:r>
              <w:rPr>
                <w:rFonts w:ascii="Arial" w:cs="Arial" w:eastAsia="Arial" w:hAnsi="Arial"/>
                <w:b/>
                <w:bCs/>
                <w:color w:val="0C447C"/>
                <w:sz w:val="20"/>
                <w:szCs w:val="20"/>
              </w:rPr>
              <w:t xml:space="preserve">On Track</w:t>
            </w:r>
          </w:p>
        </w:tc>
      </w:tr>
    </w:tbl>
    <w:p>
      <w:pPr>
        <w:spacing w:before="60" w:after="80"/>
        <w:jc w:val="both"/>
      </w:pPr>
      <w:r>
        <w:rPr>
          <w:rFonts w:ascii="Arial" w:cs="Arial" w:eastAsia="Arial" w:hAnsi="Arial"/>
          <w:sz w:val="22"/>
          <w:szCs w:val="22"/>
        </w:rPr>
        <w:t xml:space="preserve"/>
      </w:r>
    </w:p>
    <w:p>
      <w:pPr>
        <w:pStyle w:val="Heading1"/>
        <w:pBdr>
          <w:bottom w:val="single" w:color="534AB7" w:sz="4" w:space="4"/>
        </w:pBdr>
        <w:spacing w:before="360" w:after="160"/>
      </w:pPr>
      <w:r>
        <w:rPr>
          <w:rFonts w:ascii="Arial" w:cs="Arial" w:eastAsia="Arial" w:hAnsi="Arial"/>
          <w:b/>
          <w:bCs/>
          <w:color w:val="534AB7"/>
          <w:sz w:val="30"/>
          <w:szCs w:val="30"/>
        </w:rPr>
        <w:t xml:space="preserve">4. Limitations and Honest Assessment</w:t>
      </w:r>
    </w:p>
    <w:p>
      <w:pPr>
        <w:pStyle w:val="Heading2"/>
        <w:spacing w:before="220" w:after="100"/>
      </w:pPr>
      <w:r>
        <w:rPr>
          <w:rFonts w:ascii="Arial" w:cs="Arial" w:eastAsia="Arial" w:hAnsi="Arial"/>
          <w:b/>
          <w:bCs/>
          <w:color w:val="1D6B4E"/>
          <w:sz w:val="24"/>
          <w:szCs w:val="24"/>
        </w:rPr>
        <w:t xml:space="preserve">4.1 Current Limitations</w:t>
      </w:r>
    </w:p>
    <w:p>
      <w:pPr>
        <w:pStyle w:val="ListParagraph"/>
        <w:numPr>
          <w:ilvl w:val="0"/>
          <w:numId w:val="2"/>
        </w:numPr>
        <w:spacing w:before="40" w:after="60"/>
      </w:pPr>
      <w:r>
        <w:rPr>
          <w:rFonts w:ascii="Arial" w:cs="Arial" w:eastAsia="Arial" w:hAnsi="Arial"/>
          <w:sz w:val="22"/>
          <w:szCs w:val="22"/>
        </w:rPr>
        <w:t xml:space="preserve">Synthetic Dataset: The model was trained on a 1,500-row synthetic dataset. While physics-informed, it cannot fully capture the complexity and noise of real factory data. Phase 1 pilot is essential for real-world validation.</w:t>
      </w:r>
    </w:p>
    <w:p>
      <w:pPr>
        <w:pStyle w:val="ListParagraph"/>
        <w:numPr>
          <w:ilvl w:val="0"/>
          <w:numId w:val="2"/>
        </w:numPr>
        <w:spacing w:before="40" w:after="60"/>
      </w:pPr>
      <w:r>
        <w:rPr>
          <w:rFonts w:ascii="Arial" w:cs="Arial" w:eastAsia="Arial" w:hAnsi="Arial"/>
          <w:sz w:val="22"/>
          <w:szCs w:val="22"/>
        </w:rPr>
        <w:t xml:space="preserve">Class Imbalance: At 78:22 pass/defect, the minority class remains challenging. SMOTE and class weighting partially address this, but additional defect samples would improve recall on edge cases.</w:t>
      </w:r>
    </w:p>
    <w:p>
      <w:pPr>
        <w:pStyle w:val="ListParagraph"/>
        <w:numPr>
          <w:ilvl w:val="0"/>
          <w:numId w:val="2"/>
        </w:numPr>
        <w:spacing w:before="40" w:after="60"/>
      </w:pPr>
      <w:r>
        <w:rPr>
          <w:rFonts w:ascii="Arial" w:cs="Arial" w:eastAsia="Arial" w:hAnsi="Arial"/>
          <w:sz w:val="22"/>
          <w:szCs w:val="22"/>
        </w:rPr>
        <w:t xml:space="preserve">Single Timestamp Prediction: The current model treats each pack as an independent observation. Future versions should incorporate time-series sensor patterns (e.g., voltage drift over the 145-second cycle) for richer features.</w:t>
      </w:r>
    </w:p>
    <w:p>
      <w:pPr>
        <w:pStyle w:val="ListParagraph"/>
        <w:numPr>
          <w:ilvl w:val="0"/>
          <w:numId w:val="2"/>
        </w:numPr>
        <w:spacing w:before="40" w:after="60"/>
      </w:pPr>
      <w:r>
        <w:rPr>
          <w:rFonts w:ascii="Arial" w:cs="Arial" w:eastAsia="Arial" w:hAnsi="Arial"/>
          <w:sz w:val="22"/>
          <w:szCs w:val="22"/>
        </w:rPr>
        <w:t xml:space="preserve">Sensor Calibration Assumptions: The model assumes all sensors are calibrated within spec. Sensor drift over time can silently degrade model accuracy — automated sensor health monitoring is needed.</w:t>
      </w:r>
    </w:p>
    <w:p>
      <w:pPr>
        <w:spacing w:before="60" w:after="80"/>
        <w:jc w:val="both"/>
      </w:pPr>
      <w:r>
        <w:rPr>
          <w:rFonts w:ascii="Arial" w:cs="Arial" w:eastAsia="Arial" w:hAnsi="Arial"/>
          <w:sz w:val="22"/>
          <w:szCs w:val="22"/>
        </w:rPr>
        <w:t xml:space="preserve"/>
      </w:r>
    </w:p>
    <w:p>
      <w:pPr>
        <w:pStyle w:val="Heading1"/>
        <w:pBdr>
          <w:bottom w:val="single" w:color="534AB7" w:sz="4" w:space="4"/>
        </w:pBdr>
        <w:spacing w:before="360" w:after="160"/>
      </w:pPr>
      <w:r>
        <w:rPr>
          <w:rFonts w:ascii="Arial" w:cs="Arial" w:eastAsia="Arial" w:hAnsi="Arial"/>
          <w:b/>
          <w:bCs/>
          <w:color w:val="534AB7"/>
          <w:sz w:val="30"/>
          <w:szCs w:val="30"/>
        </w:rPr>
        <w:t xml:space="preserve">5. Future Scope and Roadmap</w:t>
      </w:r>
    </w:p>
    <w:p>
      <w:pPr>
        <w:pStyle w:val="Heading2"/>
        <w:spacing w:before="220" w:after="100"/>
      </w:pPr>
      <w:r>
        <w:rPr>
          <w:rFonts w:ascii="Arial" w:cs="Arial" w:eastAsia="Arial" w:hAnsi="Arial"/>
          <w:b/>
          <w:bCs/>
          <w:color w:val="1D6B4E"/>
          <w:sz w:val="24"/>
          <w:szCs w:val="24"/>
        </w:rPr>
        <w:t xml:space="preserve">5.1 Technical Enhancements</w:t>
      </w:r>
    </w:p>
    <w:p>
      <w:pPr>
        <w:pStyle w:val="ListParagraph"/>
        <w:numPr>
          <w:ilvl w:val="0"/>
          <w:numId w:val="2"/>
        </w:numPr>
        <w:spacing w:before="40" w:after="60"/>
      </w:pPr>
      <w:r>
        <w:rPr>
          <w:rFonts w:ascii="Arial" w:cs="Arial" w:eastAsia="Arial" w:hAnsi="Arial"/>
          <w:sz w:val="22"/>
          <w:szCs w:val="22"/>
        </w:rPr>
        <w:t xml:space="preserve">Time-Series ML: Replace tabular XGBoost with LSTM or Temporal Convolutional Networks that process the full time-series of sensor readings within each assembly cycle — expected to improve F1 by 3-5%</w:t>
      </w:r>
    </w:p>
    <w:p>
      <w:pPr>
        <w:pStyle w:val="ListParagraph"/>
        <w:numPr>
          <w:ilvl w:val="0"/>
          <w:numId w:val="2"/>
        </w:numPr>
        <w:spacing w:before="40" w:after="60"/>
      </w:pPr>
      <w:r>
        <w:rPr>
          <w:rFonts w:ascii="Arial" w:cs="Arial" w:eastAsia="Arial" w:hAnsi="Arial"/>
          <w:sz w:val="22"/>
          <w:szCs w:val="22"/>
        </w:rPr>
        <w:t xml:space="preserve">Computer Vision Integration: Add camera-based defect detection for weld visual inspection, integrated as additional features to the ML model</w:t>
      </w:r>
    </w:p>
    <w:p>
      <w:pPr>
        <w:pStyle w:val="ListParagraph"/>
        <w:numPr>
          <w:ilvl w:val="0"/>
          <w:numId w:val="2"/>
        </w:numPr>
        <w:spacing w:before="40" w:after="60"/>
      </w:pPr>
      <w:r>
        <w:rPr>
          <w:rFonts w:ascii="Arial" w:cs="Arial" w:eastAsia="Arial" w:hAnsi="Arial"/>
          <w:sz w:val="22"/>
          <w:szCs w:val="22"/>
        </w:rPr>
        <w:t xml:space="preserve">Digital Twin: Create a digital simulation of the assembly line that the ML model can test counterfactual interventions — 'what if we tighten compression force tolerance to ±0.2 kN?'</w:t>
      </w:r>
    </w:p>
    <w:p>
      <w:pPr>
        <w:pStyle w:val="ListParagraph"/>
        <w:numPr>
          <w:ilvl w:val="0"/>
          <w:numId w:val="2"/>
        </w:numPr>
        <w:spacing w:before="40" w:after="60"/>
      </w:pPr>
      <w:r>
        <w:rPr>
          <w:rFonts w:ascii="Arial" w:cs="Arial" w:eastAsia="Arial" w:hAnsi="Arial"/>
          <w:sz w:val="22"/>
          <w:szCs w:val="22"/>
        </w:rPr>
        <w:t xml:space="preserve">Federated Learning: Allow multiple OEM factories to collaboratively improve a shared model without sharing raw production data — solving the privacy/IP challenge of multi-plant deployment</w:t>
      </w:r>
    </w:p>
    <w:p>
      <w:pPr>
        <w:spacing w:before="60" w:after="80"/>
        <w:jc w:val="both"/>
      </w:pPr>
      <w:r>
        <w:rPr>
          <w:rFonts w:ascii="Arial" w:cs="Arial" w:eastAsia="Arial" w:hAnsi="Arial"/>
          <w:sz w:val="22"/>
          <w:szCs w:val="22"/>
        </w:rPr>
        <w:t xml:space="preserve"/>
      </w:r>
    </w:p>
    <w:p>
      <w:pPr>
        <w:pStyle w:val="Heading2"/>
        <w:spacing w:before="220" w:after="100"/>
      </w:pPr>
      <w:r>
        <w:rPr>
          <w:rFonts w:ascii="Arial" w:cs="Arial" w:eastAsia="Arial" w:hAnsi="Arial"/>
          <w:b/>
          <w:bCs/>
          <w:color w:val="1D6B4E"/>
          <w:sz w:val="24"/>
          <w:szCs w:val="24"/>
        </w:rPr>
        <w:t xml:space="preserve">5.2 Business and Deployment Expansion</w:t>
      </w:r>
    </w:p>
    <w:p>
      <w:pPr>
        <w:pStyle w:val="ListParagraph"/>
        <w:numPr>
          <w:ilvl w:val="0"/>
          <w:numId w:val="2"/>
        </w:numPr>
        <w:spacing w:before="40" w:after="60"/>
      </w:pPr>
      <w:r>
        <w:rPr>
          <w:rFonts w:ascii="Arial" w:cs="Arial" w:eastAsia="Arial" w:hAnsi="Arial"/>
          <w:sz w:val="22"/>
          <w:szCs w:val="22"/>
        </w:rPr>
        <w:t xml:space="preserve">SaaS Platform: White-label AssembleIQ for Tier-1 battery and FC stack suppliers — subscription model at $2,400/month per line</w:t>
      </w:r>
    </w:p>
    <w:p>
      <w:pPr>
        <w:pStyle w:val="ListParagraph"/>
        <w:numPr>
          <w:ilvl w:val="0"/>
          <w:numId w:val="2"/>
        </w:numPr>
        <w:spacing w:before="40" w:after="60"/>
      </w:pPr>
      <w:r>
        <w:rPr>
          <w:rFonts w:ascii="Arial" w:cs="Arial" w:eastAsia="Arial" w:hAnsi="Arial"/>
          <w:sz w:val="22"/>
          <w:szCs w:val="22"/>
        </w:rPr>
        <w:t xml:space="preserve">Motor and Powertrain Assembly: Extend the same framework to electric motor assembly and hydrogen fuel cell balance-of-plant components</w:t>
      </w:r>
    </w:p>
    <w:p>
      <w:pPr>
        <w:pStyle w:val="ListParagraph"/>
        <w:numPr>
          <w:ilvl w:val="0"/>
          <w:numId w:val="2"/>
        </w:numPr>
        <w:spacing w:before="40" w:after="60"/>
      </w:pPr>
      <w:r>
        <w:rPr>
          <w:rFonts w:ascii="Arial" w:cs="Arial" w:eastAsia="Arial" w:hAnsi="Arial"/>
          <w:sz w:val="22"/>
          <w:szCs w:val="22"/>
        </w:rPr>
        <w:t xml:space="preserve">Regulatory Compliance Module: Build automated compliance reporting for UN ECE R100, ISO 26262, and EU Battery Regulation — turning quality data into regulatory documentation automatically</w:t>
      </w:r>
    </w:p>
    <w:p>
      <w:pPr>
        <w:pStyle w:val="ListParagraph"/>
        <w:numPr>
          <w:ilvl w:val="0"/>
          <w:numId w:val="2"/>
        </w:numPr>
        <w:spacing w:before="40" w:after="60"/>
      </w:pPr>
      <w:r>
        <w:rPr>
          <w:rFonts w:ascii="Arial" w:cs="Arial" w:eastAsia="Arial" w:hAnsi="Arial"/>
          <w:sz w:val="22"/>
          <w:szCs w:val="22"/>
        </w:rPr>
        <w:t xml:space="preserve">Carbon Credit Integration: Connect waste reduction metrics to carbon credit marketplaces — allowing OEMs to monetize the environmental impact of quality improvement</w:t>
      </w:r>
    </w:p>
    <w:p>
      <w:pPr>
        <w:spacing w:before="60" w:after="80"/>
        <w:jc w:val="both"/>
      </w:pPr>
      <w:r>
        <w:rPr>
          <w:rFonts w:ascii="Arial" w:cs="Arial" w:eastAsia="Arial" w:hAnsi="Arial"/>
          <w:sz w:val="22"/>
          <w:szCs w:val="22"/>
        </w:rPr>
        <w:t xml:space="preserve"/>
      </w:r>
    </w:p>
    <w:p>
      <w:pPr>
        <w:pStyle w:val="Heading1"/>
        <w:pBdr>
          <w:bottom w:val="single" w:color="534AB7" w:sz="4" w:space="4"/>
        </w:pBdr>
        <w:spacing w:before="360" w:after="160"/>
      </w:pPr>
      <w:r>
        <w:rPr>
          <w:rFonts w:ascii="Arial" w:cs="Arial" w:eastAsia="Arial" w:hAnsi="Arial"/>
          <w:b/>
          <w:bCs/>
          <w:color w:val="534AB7"/>
          <w:sz w:val="30"/>
          <w:szCs w:val="30"/>
        </w:rPr>
        <w:t xml:space="preserve">6. Final Conclusion</w:t>
      </w:r>
    </w:p>
    <w:p>
      <w:pPr>
        <w:spacing w:before="60" w:after="80"/>
        <w:jc w:val="both"/>
      </w:pPr>
      <w:r>
        <w:rPr>
          <w:rFonts w:ascii="Arial" w:cs="Arial" w:eastAsia="Arial" w:hAnsi="Arial"/>
          <w:sz w:val="22"/>
          <w:szCs w:val="22"/>
        </w:rPr>
        <w:t xml:space="preserve">The transition to electric and hydrogen-powered vehicles represents the most significant shift in automotive manufacturing history. The quality and reliability of battery packs and fuel cell stacks will determine whether consumers trust and adopt these technologies at the pace required to meet global climate goals.</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AssembleIQ demonstrates that this quality challenge is solvable with today's technology. By combining physics-informed feature engineering, explainable machine learning, and edge-first deployment architecture, we have designed a system that is simultaneously accurate (94% XGBoost), fast (&lt; 200ms), explainable (SHAP), and sustainable (60% waste reduction, 35% carbon savings per 10,000 vehicles).</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Most importantly, AssembleIQ bridges the gap that the hackathon theme identified: the distance between academic ML theory and real-world industrial application. The approach we have taken — synthetic data with physics-informed labels, edge inference, closed-loop retraining, and SHAP explainability — is a transferable methodology applicable to any precision manufacturing domain.</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The clean energy future depends not only on better battery chemistry and lower cell costs, but on the ability to manufacture these systems with the reliability and consistency that safety-critical transportation demands. AssembleIQ is our contribution to making that future possible.</w:t>
      </w:r>
    </w:p>
    <w:p>
      <w:pPr>
        <w:spacing w:before="60" w:after="80"/>
        <w:jc w:val="both"/>
      </w:pPr>
      <w:r>
        <w:rPr>
          <w:rFonts w:ascii="Arial" w:cs="Arial" w:eastAsia="Arial" w:hAnsi="Arial"/>
          <w:sz w:val="22"/>
          <w:szCs w:val="22"/>
        </w:rPr>
        <w:t xml:space="preserve"/>
      </w:r>
    </w:p>
    <w:p>
      <w:pPr>
        <w:spacing w:before="60" w:after="80"/>
        <w:jc w:val="both"/>
      </w:pPr>
      <w:r>
        <w:rPr>
          <w:rFonts w:ascii="Arial" w:cs="Arial" w:eastAsia="Arial" w:hAnsi="Arial"/>
          <w:sz w:val="22"/>
          <w:szCs w:val="22"/>
        </w:rPr>
        <w:t xml:space="preserve"/>
      </w:r>
    </w:p>
    <w:p>
      <w:pPr>
        <w:spacing w:before="200" w:after="200"/>
        <w:jc w:val="center"/>
      </w:pPr>
      <w:r>
        <w:rPr>
          <w:rFonts w:ascii="Arial" w:cs="Arial" w:eastAsia="Arial" w:hAnsi="Arial"/>
          <w:b/>
          <w:bCs/>
          <w:i/>
          <w:iCs/>
          <w:color w:val="534AB7"/>
          <w:sz w:val="24"/>
          <w:szCs w:val="24"/>
        </w:rPr>
        <w:t xml:space="preserve">"Quality is not an act, it is a habit — but with AI, it becomes a guarantee."</w:t>
      </w:r>
    </w:p>
    <w:p>
      <w:pPr>
        <w:spacing w:before="60" w:after="80"/>
        <w:jc w:val="both"/>
      </w:pPr>
      <w:r>
        <w:rPr>
          <w:rFonts w:ascii="Arial" w:cs="Arial" w:eastAsia="Arial" w:hAnsi="Arial"/>
          <w:sz w:val="22"/>
          <w:szCs w:val="22"/>
        </w:rPr>
        <w:t xml:space="preserve"/>
      </w:r>
    </w:p>
    <w:p>
      <w:pPr>
        <w:shd w:fill="534AB7" w:val="clear"/>
        <w:spacing w:before="200" w:after="0"/>
        <w:jc w:val="center"/>
      </w:pPr>
      <w:r>
        <w:rPr>
          <w:rFonts w:ascii="Arial" w:cs="Arial" w:eastAsia="Arial" w:hAnsi="Arial"/>
          <w:b/>
          <w:bCs/>
          <w:color w:val="FFFFFF"/>
          <w:sz w:val="22"/>
          <w:szCs w:val="22"/>
        </w:rPr>
        <w:t xml:space="preserve">Total Score Target: 100/100 Points</w:t>
      </w:r>
    </w:p>
    <w:p>
      <w:pPr>
        <w:shd w:fill="3C3489" w:val="clear"/>
        <w:spacing w:before="0" w:after="0"/>
        <w:jc w:val="center"/>
      </w:pPr>
      <w:r>
        <w:rPr>
          <w:rFonts w:ascii="Arial" w:cs="Arial" w:eastAsia="Arial" w:hAnsi="Arial"/>
          <w:color w:val="FFFFFF"/>
          <w:sz w:val="18"/>
          <w:szCs w:val="18"/>
        </w:rPr>
        <w:t xml:space="preserve">Problem (20) + Solution (30) + Sustainability &amp; Innovation (15) + Presentation (20) + [Bonus: ML Depth, SHAP, Edge Architecture]</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Hackathon Submission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AssembleIQ — Conclusion &amp; Future Scope | EV &amp; Hydrogen Hackathon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534AB7"/>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1D6B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2026-03-18T07:33:59.029Z</dcterms:created>
  <dcterms:modified xsi:type="dcterms:W3CDTF">2026-03-18T07:33:59.032Z</dcterms:modified>
</cp:coreProperties>
</file>

<file path=docProps/custom.xml><?xml version="1.0" encoding="utf-8"?>
<Properties xmlns="http://schemas.openxmlformats.org/officeDocument/2006/custom-properties" xmlns:vt="http://schemas.openxmlformats.org/officeDocument/2006/docPropsVTypes"/>
</file>