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6AB5" w14:textId="5166EFAD" w:rsidR="007A6982" w:rsidRPr="007A6982" w:rsidRDefault="007A6982" w:rsidP="007A6982">
      <w:pPr>
        <w:jc w:val="center"/>
        <w:rPr>
          <w:b/>
          <w:bCs/>
          <w:sz w:val="48"/>
          <w:szCs w:val="48"/>
        </w:rPr>
      </w:pPr>
      <w:r w:rsidRPr="007A6982">
        <w:rPr>
          <w:b/>
          <w:bCs/>
          <w:sz w:val="48"/>
          <w:szCs w:val="48"/>
        </w:rPr>
        <w:t>Solutions to the question</w:t>
      </w:r>
    </w:p>
    <w:p w14:paraId="5FDB7F32" w14:textId="2620769D" w:rsidR="007A6982" w:rsidRPr="007A6982" w:rsidRDefault="007A6982" w:rsidP="007A6982">
      <w:pPr>
        <w:rPr>
          <w:sz w:val="32"/>
          <w:szCs w:val="32"/>
        </w:rPr>
      </w:pPr>
      <w:r w:rsidRPr="007A6982">
        <w:rPr>
          <w:sz w:val="32"/>
          <w:szCs w:val="32"/>
        </w:rPr>
        <w:t xml:space="preserve">Q1. Revenue by State-wise  </w:t>
      </w:r>
    </w:p>
    <w:p w14:paraId="02AB795C" w14:textId="467336A2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Maharashtra Highest revenue (exact value not visible but leading the chart)  </w:t>
      </w:r>
    </w:p>
    <w:p w14:paraId="075B69E2" w14:textId="4D03B746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Madhya Pradesh Second highest  </w:t>
      </w:r>
    </w:p>
    <w:p w14:paraId="00E39D28" w14:textId="229ACAC7" w:rsid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Uttar Pradesh and Gujarat Lower revenues compared to the above states  </w:t>
      </w:r>
    </w:p>
    <w:p w14:paraId="7853472D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</w:p>
    <w:p w14:paraId="3710BBAF" w14:textId="2761FFAC" w:rsidR="007A6982" w:rsidRPr="007A6982" w:rsidRDefault="007A6982" w:rsidP="007A6982">
      <w:pPr>
        <w:rPr>
          <w:sz w:val="32"/>
          <w:szCs w:val="32"/>
        </w:rPr>
      </w:pPr>
      <w:r w:rsidRPr="007A6982">
        <w:rPr>
          <w:sz w:val="32"/>
          <w:szCs w:val="32"/>
        </w:rPr>
        <w:t xml:space="preserve">Q2. Revenue by Top 4 Regular Customers  </w:t>
      </w:r>
    </w:p>
    <w:p w14:paraId="17FCEC3D" w14:textId="759A38FB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Harivansh Highest revenue among customers  </w:t>
      </w:r>
    </w:p>
    <w:p w14:paraId="5CFF9FEC" w14:textId="3888EAAC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Madhav Second highest  </w:t>
      </w:r>
    </w:p>
    <w:p w14:paraId="55A710AD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Madan and Mohan follow with slightly lower revenues  </w:t>
      </w:r>
    </w:p>
    <w:p w14:paraId="42BED70A" w14:textId="779F9B21" w:rsid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Shiva Lowest among the top 5 displayed  </w:t>
      </w:r>
    </w:p>
    <w:p w14:paraId="49A6A221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</w:p>
    <w:p w14:paraId="48A81430" w14:textId="410F283D" w:rsidR="007A6982" w:rsidRPr="007A6982" w:rsidRDefault="007A6982" w:rsidP="007A6982">
      <w:pPr>
        <w:rPr>
          <w:sz w:val="32"/>
          <w:szCs w:val="32"/>
        </w:rPr>
      </w:pPr>
      <w:r w:rsidRPr="007A6982">
        <w:rPr>
          <w:sz w:val="32"/>
          <w:szCs w:val="32"/>
        </w:rPr>
        <w:t xml:space="preserve">Q3. Quantity Sold by Category  </w:t>
      </w:r>
    </w:p>
    <w:p w14:paraId="731B4E26" w14:textId="7D8791AF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Clothing 63% (Highest)  </w:t>
      </w:r>
    </w:p>
    <w:p w14:paraId="79920A67" w14:textId="54ECEB7F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Electronics 21%  </w:t>
      </w:r>
    </w:p>
    <w:p w14:paraId="72A60255" w14:textId="201349F8" w:rsid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Furniture 17%  </w:t>
      </w:r>
    </w:p>
    <w:p w14:paraId="4D4B5B24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</w:p>
    <w:p w14:paraId="55C243F7" w14:textId="1F0978FA" w:rsidR="007A6982" w:rsidRPr="007A6982" w:rsidRDefault="007A6982" w:rsidP="007A6982">
      <w:pPr>
        <w:rPr>
          <w:sz w:val="32"/>
          <w:szCs w:val="32"/>
        </w:rPr>
      </w:pPr>
      <w:r w:rsidRPr="007A6982">
        <w:rPr>
          <w:sz w:val="32"/>
          <w:szCs w:val="32"/>
        </w:rPr>
        <w:t xml:space="preserve">Q4. Payment Methods Used by Customers  </w:t>
      </w:r>
    </w:p>
    <w:p w14:paraId="18B62C1B" w14:textId="4972C60B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Cash on Delivery (COD) 44% (Most popular)  </w:t>
      </w:r>
    </w:p>
    <w:p w14:paraId="1FC6C554" w14:textId="532468D0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UPI 21%  </w:t>
      </w:r>
    </w:p>
    <w:p w14:paraId="278CDFDD" w14:textId="36D5E514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Debit Card 13%  </w:t>
      </w:r>
    </w:p>
    <w:p w14:paraId="6274EB8A" w14:textId="46C21139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Credit Card 12%  </w:t>
      </w:r>
    </w:p>
    <w:p w14:paraId="64BE4FBD" w14:textId="1E1B9332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EMI 10%  </w:t>
      </w:r>
    </w:p>
    <w:p w14:paraId="7405F90C" w14:textId="22EAB6B0" w:rsidR="007A6982" w:rsidRPr="007A6982" w:rsidRDefault="007A6982" w:rsidP="007A6982">
      <w:pPr>
        <w:rPr>
          <w:sz w:val="32"/>
          <w:szCs w:val="32"/>
        </w:rPr>
      </w:pPr>
      <w:r w:rsidRPr="007A6982">
        <w:rPr>
          <w:sz w:val="32"/>
          <w:szCs w:val="32"/>
        </w:rPr>
        <w:lastRenderedPageBreak/>
        <w:t xml:space="preserve">Q5. Profit Generated Monthly  </w:t>
      </w:r>
    </w:p>
    <w:p w14:paraId="24303713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Peaks in November and December  </w:t>
      </w:r>
    </w:p>
    <w:p w14:paraId="68BD952A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Significant profit drop in April and May  </w:t>
      </w:r>
    </w:p>
    <w:p w14:paraId="289190EB" w14:textId="04558135" w:rsid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Other months show moderate fluctuations  </w:t>
      </w:r>
    </w:p>
    <w:p w14:paraId="60A27C68" w14:textId="77777777" w:rsidR="007A6982" w:rsidRPr="007A6982" w:rsidRDefault="007A6982" w:rsidP="007A6982">
      <w:pPr>
        <w:spacing w:line="240" w:lineRule="auto"/>
        <w:rPr>
          <w:sz w:val="32"/>
          <w:szCs w:val="32"/>
        </w:rPr>
      </w:pPr>
    </w:p>
    <w:p w14:paraId="73714DCD" w14:textId="03176D67" w:rsidR="007A6982" w:rsidRPr="007A6982" w:rsidRDefault="007A6982" w:rsidP="007A6982">
      <w:pPr>
        <w:rPr>
          <w:sz w:val="32"/>
          <w:szCs w:val="32"/>
        </w:rPr>
      </w:pPr>
      <w:r w:rsidRPr="007A6982">
        <w:rPr>
          <w:sz w:val="32"/>
          <w:szCs w:val="32"/>
        </w:rPr>
        <w:t>Q6. Profit from the Sale of Sub</w:t>
      </w:r>
      <w:r w:rsidRPr="007A6982">
        <w:rPr>
          <w:sz w:val="32"/>
          <w:szCs w:val="32"/>
        </w:rPr>
        <w:t>-</w:t>
      </w:r>
      <w:r w:rsidRPr="007A6982">
        <w:rPr>
          <w:sz w:val="32"/>
          <w:szCs w:val="32"/>
        </w:rPr>
        <w:t xml:space="preserve">categories  </w:t>
      </w:r>
    </w:p>
    <w:p w14:paraId="5CC2A7C8" w14:textId="34CCBB98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Printers Highest profit among subcategories  </w:t>
      </w:r>
    </w:p>
    <w:p w14:paraId="32AB9CAB" w14:textId="2D459262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Bookcases Second highest  </w:t>
      </w:r>
    </w:p>
    <w:p w14:paraId="7CA60D01" w14:textId="610D941D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Sarees and Accessories Moderate profit  </w:t>
      </w:r>
    </w:p>
    <w:p w14:paraId="72E2E6BC" w14:textId="60F8068F" w:rsidR="007A6982" w:rsidRPr="007A6982" w:rsidRDefault="007A6982" w:rsidP="007A6982">
      <w:pPr>
        <w:spacing w:line="240" w:lineRule="auto"/>
        <w:rPr>
          <w:sz w:val="32"/>
          <w:szCs w:val="32"/>
        </w:rPr>
      </w:pPr>
      <w:r w:rsidRPr="007A6982">
        <w:rPr>
          <w:sz w:val="32"/>
          <w:szCs w:val="32"/>
        </w:rPr>
        <w:t xml:space="preserve">- Tables Lowest profit among the displayed subcategories  </w:t>
      </w:r>
    </w:p>
    <w:sectPr w:rsidR="007A6982" w:rsidRPr="007A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2"/>
    <w:rsid w:val="003939B3"/>
    <w:rsid w:val="007A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C17C"/>
  <w15:chartTrackingRefBased/>
  <w15:docId w15:val="{F3936EFB-CC1C-4323-9E9B-D929C614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Sharma</dc:creator>
  <cp:keywords/>
  <dc:description/>
  <cp:lastModifiedBy>Swastika Sharma</cp:lastModifiedBy>
  <cp:revision>1</cp:revision>
  <dcterms:created xsi:type="dcterms:W3CDTF">2025-02-17T07:05:00Z</dcterms:created>
  <dcterms:modified xsi:type="dcterms:W3CDTF">2025-02-17T07:10:00Z</dcterms:modified>
</cp:coreProperties>
</file>