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CC7BB6" w:rsidR="00CC7BB6" w:rsidP="00CC7BB6" w:rsidRDefault="00CC7BB6" w14:paraId="73B2AE64" w14:textId="77777777">
      <w:pPr>
        <w:tabs>
          <w:tab w:val="left" w:pos="2053"/>
        </w:tabs>
        <w:spacing w:line="240" w:lineRule="auto"/>
        <w:jc w:val="both"/>
        <w:rPr>
          <w:rFonts w:ascii="Times New Roman" w:hAnsi="Times New Roman" w:eastAsia="Calibri" w:cs="Times New Roman"/>
          <w:b/>
          <w:sz w:val="44"/>
          <w:szCs w:val="24"/>
        </w:rPr>
      </w:pP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3360" behindDoc="0" locked="0" layoutInCell="1" allowOverlap="1" wp14:anchorId="3372535E" wp14:editId="43F5156A">
                <wp:simplePos x="0" y="0"/>
                <wp:positionH relativeFrom="column">
                  <wp:posOffset>838200</wp:posOffset>
                </wp:positionH>
                <wp:positionV relativeFrom="paragraph">
                  <wp:posOffset>-59055</wp:posOffset>
                </wp:positionV>
                <wp:extent cx="0" cy="1278255"/>
                <wp:effectExtent l="0" t="0" r="19050" b="17145"/>
                <wp:wrapNone/>
                <wp:docPr id="11" name="Straight Connector 6"/>
                <wp:cNvGraphicFramePr/>
                <a:graphic xmlns:a="http://schemas.openxmlformats.org/drawingml/2006/main">
                  <a:graphicData uri="http://schemas.microsoft.com/office/word/2010/wordprocessingShape">
                    <wps:wsp>
                      <wps:cNvCnPr/>
                      <wps:spPr>
                        <a:xfrm flipH="1">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indowText" strokeweight=".5pt"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">
                <v:stroke joinstyle="miter"/>
              </v:line>
            </w:pict>
          </mc:Fallback>
        </mc:AlternateContent>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62336" behindDoc="0" locked="0" layoutInCell="1" allowOverlap="1" wp14:anchorId="2C435C4D" wp14:editId="2F38B2D1">
                <wp:simplePos x="0" y="0"/>
                <wp:positionH relativeFrom="column">
                  <wp:posOffset>4885055</wp:posOffset>
                </wp:positionH>
                <wp:positionV relativeFrom="paragraph">
                  <wp:posOffset>-59055</wp:posOffset>
                </wp:positionV>
                <wp:extent cx="0" cy="1278255"/>
                <wp:effectExtent l="0" t="0" r="19050" b="17145"/>
                <wp:wrapNone/>
                <wp:docPr id="10" name="Straight Connector 4"/>
                <wp:cNvGraphicFramePr/>
                <a:graphic xmlns:a="http://schemas.openxmlformats.org/drawingml/2006/main">
                  <a:graphicData uri="http://schemas.microsoft.com/office/word/2010/wordprocessingShape">
                    <wps:wsp>
                      <wps:cNvCnPr/>
                      <wps:spPr>
                        <a:xfrm>
                          <a:off x="0" y="0"/>
                          <a:ext cx="0" cy="127762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id="Straight Connector 4"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spid="_x0000_s1026" strokecolor="windowText" strokeweight=".5pt"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">
                <v:stroke joinstyle="miter"/>
              </v:line>
            </w:pict>
          </mc:Fallback>
        </mc:AlternateContent>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0288" behindDoc="1" locked="0" layoutInCell="1" allowOverlap="1" wp14:anchorId="2D30C249" wp14:editId="429A3380">
            <wp:simplePos x="0" y="0"/>
            <wp:positionH relativeFrom="column">
              <wp:posOffset>-372110</wp:posOffset>
            </wp:positionH>
            <wp:positionV relativeFrom="paragraph">
              <wp:posOffset>-15875</wp:posOffset>
            </wp:positionV>
            <wp:extent cx="1155065" cy="1189990"/>
            <wp:effectExtent l="0" t="0" r="6985" b="0"/>
            <wp:wrapNone/>
            <wp:docPr id="1" name="Picture 2" descr="Description: 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New GRT 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w:drawing>
          <wp:anchor distT="0" distB="0" distL="114300" distR="114300" simplePos="0" relativeHeight="251661312" behindDoc="1" locked="0" layoutInCell="1" allowOverlap="1" wp14:anchorId="30B68C31" wp14:editId="662D13B5">
            <wp:simplePos x="0" y="0"/>
            <wp:positionH relativeFrom="column">
              <wp:posOffset>5020945</wp:posOffset>
            </wp:positionH>
            <wp:positionV relativeFrom="paragraph">
              <wp:posOffset>26670</wp:posOffset>
            </wp:positionV>
            <wp:extent cx="1177290" cy="1193800"/>
            <wp:effectExtent l="0" t="0" r="3810" b="6350"/>
            <wp:wrapNone/>
            <wp:docPr id="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C7BB6">
        <w:rPr>
          <w:rFonts w:ascii="Times New Roman" w:hAnsi="Times New Roman" w:eastAsia="Calibri" w:cs="Times New Roman"/>
          <w:noProof/>
          <w:sz w:val="24"/>
          <w:szCs w:val="24"/>
          <w:lang w:val="en-IN" w:eastAsia="en-IN" w:bidi="ta-IN"/>
        </w:rPr>
        <mc:AlternateContent>
          <mc:Choice Requires="wps">
            <w:drawing>
              <wp:anchor distT="0" distB="0" distL="114300" distR="114300" simplePos="0" relativeHeight="251659264" behindDoc="0" locked="0" layoutInCell="1" allowOverlap="1" wp14:anchorId="6A59F3C6" wp14:editId="17E9D7C9">
                <wp:simplePos x="0" y="0"/>
                <wp:positionH relativeFrom="column">
                  <wp:posOffset>-372745</wp:posOffset>
                </wp:positionH>
                <wp:positionV relativeFrom="paragraph">
                  <wp:posOffset>-59055</wp:posOffset>
                </wp:positionV>
                <wp:extent cx="6688455" cy="1278255"/>
                <wp:effectExtent l="0" t="0" r="17145" b="17145"/>
                <wp:wrapNone/>
                <wp:docPr id="7" name="Rectangle 1"/>
                <wp:cNvGraphicFramePr/>
                <a:graphic xmlns:a="http://schemas.openxmlformats.org/drawingml/2006/main">
                  <a:graphicData uri="http://schemas.microsoft.com/office/word/2010/wordprocessingShape">
                    <wps:wsp>
                      <wps:cNvSpPr/>
                      <wps:spPr>
                        <a:xfrm>
                          <a:off x="0" y="0"/>
                          <a:ext cx="6688455" cy="127825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 style="position:absolute;margin-left:-29.35pt;margin-top:-4.65pt;width:526.65pt;height:10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spid="_x0000_s1026" filled="f" strokecolor="windowText"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"/>
            </w:pict>
          </mc:Fallback>
        </mc:AlternateContent>
      </w: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32"/>
          <w:szCs w:val="24"/>
        </w:rPr>
        <w:t xml:space="preserve">GRT INSTITUTE OF </w:t>
      </w:r>
    </w:p>
    <w:p w:rsidRPr="00CC7BB6" w:rsidR="00CC7BB6" w:rsidP="00CC7BB6" w:rsidRDefault="00CC7BB6" w14:paraId="28D9330F"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ENGINEERING AND </w:t>
      </w:r>
    </w:p>
    <w:p w:rsidRPr="00CC7BB6" w:rsidR="00CC7BB6" w:rsidP="00CC7BB6" w:rsidRDefault="00CC7BB6" w14:paraId="2F887C53" w14:textId="77777777">
      <w:pPr>
        <w:spacing w:line="240" w:lineRule="auto"/>
        <w:jc w:val="both"/>
        <w:rPr>
          <w:rFonts w:ascii="Times New Roman" w:hAnsi="Times New Roman" w:eastAsia="Calibri" w:cs="Times New Roman"/>
          <w:b/>
          <w:sz w:val="32"/>
          <w:szCs w:val="24"/>
        </w:rPr>
      </w:pPr>
      <w:r w:rsidRPr="00CC7BB6">
        <w:rPr>
          <w:rFonts w:ascii="Times New Roman" w:hAnsi="Times New Roman" w:eastAsia="Calibri" w:cs="Times New Roman"/>
          <w:b/>
          <w:sz w:val="32"/>
          <w:szCs w:val="24"/>
        </w:rPr>
        <w:t xml:space="preserve">                  TECHNOLOGY, TIRUTTANI - 631209</w:t>
      </w:r>
    </w:p>
    <w:p w:rsidRPr="00CC7BB6" w:rsidR="00CC7BB6" w:rsidP="00CC7BB6" w:rsidRDefault="00CC7BB6" w14:paraId="221646A2" w14:textId="77777777">
      <w:pPr>
        <w:spacing w:line="360" w:lineRule="auto"/>
        <w:jc w:val="both"/>
        <w:rPr>
          <w:rFonts w:ascii="Times New Roman" w:hAnsi="Times New Roman" w:eastAsia="Calibri" w:cs="Times New Roman"/>
          <w:b/>
          <w:sz w:val="20"/>
          <w:szCs w:val="24"/>
        </w:rPr>
      </w:pPr>
      <w:r w:rsidRPr="00CC7BB6">
        <w:rPr>
          <w:rFonts w:ascii="Times New Roman" w:hAnsi="Times New Roman" w:eastAsia="Calibri" w:cs="Times New Roman"/>
          <w:b/>
          <w:sz w:val="20"/>
          <w:szCs w:val="24"/>
        </w:rPr>
        <w:t xml:space="preserve">                            Approved by AICTE, New Delhi Affiliated to Anna University, Chennai</w:t>
      </w:r>
    </w:p>
    <w:p w:rsidRPr="00CC7BB6" w:rsidR="00CC7BB6" w:rsidP="00CC7BB6" w:rsidRDefault="00CC7BB6" w14:paraId="4BA07D7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66F9CBB7" w14:textId="77777777">
      <w:pPr>
        <w:spacing w:line="360" w:lineRule="auto"/>
        <w:jc w:val="both"/>
        <w:rPr>
          <w:rFonts w:ascii="Times New Roman" w:hAnsi="Times New Roman" w:eastAsia="Calibri" w:cs="Times New Roman"/>
          <w:b/>
          <w:sz w:val="28"/>
          <w:szCs w:val="24"/>
        </w:rPr>
      </w:pPr>
    </w:p>
    <w:p w:rsidRPr="00CC7BB6" w:rsidR="00CC7BB6" w:rsidP="404FEF17" w:rsidRDefault="00CC7BB6" w14:paraId="18091FFF" w14:textId="77777777">
      <w:pPr>
        <w:spacing w:line="360" w:lineRule="auto"/>
        <w:jc w:val="center"/>
        <w:rPr>
          <w:rFonts w:ascii="Times New Roman" w:hAnsi="Times New Roman" w:eastAsia="Calibri" w:cs="Times New Roman"/>
          <w:b w:val="1"/>
          <w:bCs w:val="1"/>
          <w:sz w:val="28"/>
          <w:szCs w:val="28"/>
        </w:rPr>
      </w:pPr>
      <w:r w:rsidRPr="404FEF17" w:rsidR="404FEF17">
        <w:rPr>
          <w:rFonts w:ascii="Times New Roman" w:hAnsi="Times New Roman" w:eastAsia="Calibri" w:cs="Times New Roman"/>
          <w:b w:val="1"/>
          <w:bCs w:val="1"/>
          <w:sz w:val="28"/>
          <w:szCs w:val="28"/>
        </w:rPr>
        <w:t>DEPARTMENT OF COMPUTER SCIENCE AND ENGINEERING</w:t>
      </w:r>
    </w:p>
    <w:p w:rsidRPr="00CC7BB6" w:rsidR="00CC7BB6" w:rsidP="00CC7BB6" w:rsidRDefault="00CC7BB6" w14:paraId="311D3E6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9F08555"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2B37EE63" w14:textId="77777777">
      <w:pPr>
        <w:spacing w:line="360" w:lineRule="auto"/>
        <w:jc w:val="both"/>
        <w:rPr>
          <w:rFonts w:ascii="Times New Roman" w:hAnsi="Times New Roman" w:eastAsia="Calibri" w:cs="Times New Roman"/>
          <w:b/>
          <w:sz w:val="28"/>
          <w:szCs w:val="24"/>
          <w:u w:val="single"/>
        </w:rPr>
      </w:pPr>
      <w:r w:rsidRPr="00CC7BB6">
        <w:rPr>
          <w:rFonts w:ascii="Times New Roman" w:hAnsi="Times New Roman" w:eastAsia="Calibri" w:cs="Times New Roman"/>
          <w:b/>
          <w:sz w:val="28"/>
          <w:szCs w:val="24"/>
        </w:rPr>
        <w:t xml:space="preserve">                                           </w:t>
      </w:r>
      <w:r w:rsidRPr="00CC7BB6">
        <w:rPr>
          <w:rFonts w:ascii="Times New Roman" w:hAnsi="Times New Roman" w:eastAsia="Calibri" w:cs="Times New Roman"/>
          <w:b/>
          <w:sz w:val="28"/>
          <w:szCs w:val="24"/>
          <w:u w:val="single"/>
        </w:rPr>
        <w:t>PROJECT TITLE</w:t>
      </w:r>
    </w:p>
    <w:p w:rsidRPr="00CC7BB6" w:rsidR="00CC7BB6" w:rsidP="59BF5714" w:rsidRDefault="00CC7BB6" w14:paraId="1BC12402" w14:textId="77777777" w14:noSpellErr="1">
      <w:pPr>
        <w:spacing w:line="360" w:lineRule="auto"/>
        <w:jc w:val="center"/>
        <w:rPr>
          <w:rFonts w:ascii="Times New Roman" w:hAnsi="Times New Roman" w:eastAsia="Calibri" w:cs="Times New Roman"/>
          <w:b w:val="1"/>
          <w:bCs w:val="1"/>
          <w:i w:val="1"/>
          <w:iCs w:val="1"/>
          <w:color w:val="4472C4"/>
          <w:sz w:val="36"/>
          <w:szCs w:val="36"/>
        </w:rPr>
      </w:pPr>
      <w:r w:rsidRPr="59BF5714" w:rsidR="59BF5714">
        <w:rPr>
          <w:rFonts w:ascii="Times New Roman" w:hAnsi="Times New Roman" w:eastAsia="Calibri" w:cs="Times New Roman"/>
          <w:b w:val="1"/>
          <w:bCs w:val="1"/>
          <w:i w:val="1"/>
          <w:iCs w:val="1"/>
          <w:color w:val="4472C4" w:themeColor="accent1" w:themeTint="FF" w:themeShade="FF"/>
          <w:sz w:val="36"/>
          <w:szCs w:val="36"/>
        </w:rPr>
        <w:t xml:space="preserve">   Disaster Recovery with IBM Cloud Virtual Servers</w:t>
      </w:r>
    </w:p>
    <w:p w:rsidRPr="00CC7BB6" w:rsidR="00CC7BB6" w:rsidP="00CC7BB6" w:rsidRDefault="00CC7BB6" w14:paraId="5B8F249C"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1D7C643E"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481E63C2" w14:textId="77777777">
      <w:pPr>
        <w:spacing w:line="360" w:lineRule="auto"/>
        <w:jc w:val="both"/>
        <w:rPr>
          <w:rFonts w:ascii="Times New Roman" w:hAnsi="Times New Roman" w:eastAsia="Calibri" w:cs="Times New Roman"/>
          <w:b/>
          <w:sz w:val="28"/>
          <w:szCs w:val="24"/>
        </w:rPr>
      </w:pPr>
    </w:p>
    <w:p w:rsidRPr="00CC7BB6" w:rsidR="00CC7BB6" w:rsidP="00CC7BB6" w:rsidRDefault="00CC7BB6" w14:paraId="50E5DD05" w14:textId="77777777">
      <w:pPr>
        <w:spacing w:line="360" w:lineRule="auto"/>
        <w:jc w:val="both"/>
        <w:rPr>
          <w:rFonts w:ascii="Times New Roman" w:hAnsi="Times New Roman" w:eastAsia="Calibri" w:cs="Times New Roman"/>
          <w:b/>
          <w:sz w:val="28"/>
          <w:szCs w:val="24"/>
        </w:rPr>
      </w:pPr>
    </w:p>
    <w:p w:rsidRPr="00CC7BB6" w:rsidR="00CC7BB6" w:rsidP="404FEF17" w:rsidRDefault="00CC7BB6" w14:paraId="1D5CF6F7" w14:textId="7440791E">
      <w:pPr>
        <w:spacing w:line="240" w:lineRule="auto"/>
        <w:jc w:val="left"/>
        <w:rPr>
          <w:rFonts w:ascii="Times New Roman" w:hAnsi="Times New Roman" w:eastAsia="Calibri" w:cs="Times New Roman"/>
          <w:b w:val="1"/>
          <w:bCs w:val="1"/>
          <w:sz w:val="28"/>
          <w:szCs w:val="28"/>
        </w:rPr>
      </w:pPr>
      <w:r w:rsidRPr="404FEF17" w:rsidR="404FEF17">
        <w:rPr>
          <w:rFonts w:ascii="Times New Roman" w:hAnsi="Times New Roman" w:eastAsia="Calibri" w:cs="Times New Roman"/>
          <w:b w:val="1"/>
          <w:bCs w:val="1"/>
          <w:sz w:val="28"/>
          <w:szCs w:val="28"/>
        </w:rPr>
        <w:t xml:space="preserve">                                       COLLEGE CODE:1103</w:t>
      </w:r>
    </w:p>
    <w:p w:rsidRPr="00CC7BB6" w:rsidR="00CC7BB6" w:rsidP="404FEF17" w:rsidRDefault="00CC7BB6" w14:paraId="127B15A9" w14:textId="1C5807DA">
      <w:pPr>
        <w:spacing w:line="240" w:lineRule="auto"/>
        <w:jc w:val="left"/>
        <w:rPr>
          <w:rFonts w:ascii="Times New Roman" w:hAnsi="Times New Roman" w:eastAsia="Calibri" w:cs="Times New Roman"/>
          <w:b w:val="1"/>
          <w:bCs w:val="1"/>
          <w:sz w:val="28"/>
          <w:szCs w:val="28"/>
        </w:rPr>
      </w:pPr>
      <w:r w:rsidRPr="404FEF17" w:rsidR="404FEF17">
        <w:rPr>
          <w:rFonts w:ascii="Times New Roman" w:hAnsi="Times New Roman" w:eastAsia="Calibri" w:cs="Times New Roman"/>
          <w:b w:val="1"/>
          <w:bCs w:val="1"/>
          <w:sz w:val="28"/>
          <w:szCs w:val="28"/>
        </w:rPr>
        <w:t xml:space="preserve">                                                </w:t>
      </w:r>
      <w:r w:rsidRPr="404FEF17" w:rsidR="404FEF17">
        <w:rPr>
          <w:rFonts w:ascii="Times New Roman" w:hAnsi="Times New Roman" w:eastAsia="Calibri" w:cs="Times New Roman"/>
          <w:b w:val="1"/>
          <w:bCs w:val="1"/>
          <w:sz w:val="28"/>
          <w:szCs w:val="28"/>
        </w:rPr>
        <w:t>Swathy.R</w:t>
      </w:r>
    </w:p>
    <w:p w:rsidRPr="00CC7BB6" w:rsidR="00CC7BB6" w:rsidP="404FEF17" w:rsidRDefault="00CC7BB6" w14:paraId="16FAA327" w14:textId="382C6128">
      <w:pPr>
        <w:spacing w:line="240" w:lineRule="auto"/>
        <w:jc w:val="left"/>
        <w:rPr>
          <w:rFonts w:ascii="Times New Roman" w:hAnsi="Times New Roman" w:eastAsia="Calibri" w:cs="Times New Roman"/>
          <w:sz w:val="28"/>
          <w:szCs w:val="28"/>
        </w:rPr>
      </w:pPr>
      <w:r w:rsidRPr="404FEF17" w:rsidR="404FEF17">
        <w:rPr>
          <w:rFonts w:ascii="Times New Roman" w:hAnsi="Times New Roman" w:eastAsia="Calibri" w:cs="Times New Roman"/>
          <w:sz w:val="28"/>
          <w:szCs w:val="28"/>
        </w:rPr>
        <w:t xml:space="preserve">                                             3rd year, 5th </w:t>
      </w:r>
      <w:r w:rsidRPr="404FEF17" w:rsidR="404FEF17">
        <w:rPr>
          <w:rFonts w:ascii="Times New Roman" w:hAnsi="Times New Roman" w:eastAsia="Calibri" w:cs="Times New Roman"/>
          <w:sz w:val="28"/>
          <w:szCs w:val="28"/>
        </w:rPr>
        <w:t>sem</w:t>
      </w:r>
    </w:p>
    <w:p w:rsidRPr="00CC7BB6" w:rsidR="00CC7BB6" w:rsidP="404FEF17" w:rsidRDefault="00CC7BB6" w14:paraId="2851CFD5" w14:textId="029F6364">
      <w:pPr>
        <w:spacing w:line="240" w:lineRule="auto"/>
        <w:jc w:val="left"/>
        <w:rPr>
          <w:rFonts w:ascii="Times New Roman" w:hAnsi="Times New Roman" w:eastAsia="Calibri" w:cs="Times New Roman"/>
          <w:sz w:val="28"/>
          <w:szCs w:val="28"/>
        </w:rPr>
      </w:pPr>
      <w:r w:rsidRPr="404FEF17" w:rsidR="404FEF17">
        <w:rPr>
          <w:rFonts w:ascii="Times New Roman" w:hAnsi="Times New Roman" w:eastAsia="Calibri" w:cs="Times New Roman"/>
          <w:sz w:val="28"/>
          <w:szCs w:val="28"/>
        </w:rPr>
        <w:t xml:space="preserve">                                         Reg no.:110321104053</w:t>
      </w:r>
    </w:p>
    <w:p w:rsidRPr="00CC7BB6" w:rsidR="00CC7BB6" w:rsidP="404FEF17" w:rsidRDefault="00CC7BB6" w14:paraId="659EEEDA" w14:textId="18B3EF74">
      <w:pPr>
        <w:spacing w:line="240" w:lineRule="auto"/>
        <w:jc w:val="left"/>
        <w:rPr>
          <w:rFonts w:ascii="Times New Roman" w:hAnsi="Times New Roman" w:eastAsia="Calibri" w:cs="Times New Roman"/>
          <w:b w:val="1"/>
          <w:bCs w:val="1"/>
          <w:color w:val="4472C4"/>
          <w:sz w:val="28"/>
          <w:szCs w:val="28"/>
          <w:u w:val="single"/>
        </w:rPr>
      </w:pPr>
      <w:r w:rsidRPr="404FEF17" w:rsidR="404FEF17">
        <w:rPr>
          <w:rFonts w:ascii="Times New Roman" w:hAnsi="Times New Roman" w:eastAsia="Calibri" w:cs="Times New Roman"/>
          <w:b w:val="1"/>
          <w:bCs w:val="1"/>
          <w:color w:val="4472C4" w:themeColor="accent1" w:themeTint="FF" w:themeShade="FF"/>
          <w:sz w:val="28"/>
          <w:szCs w:val="28"/>
        </w:rPr>
        <w:t xml:space="preserve">                                       swathy1883</w:t>
      </w:r>
      <w:r w:rsidRPr="404FEF17" w:rsidR="404FEF17">
        <w:rPr>
          <w:rFonts w:ascii="Times New Roman" w:hAnsi="Times New Roman" w:eastAsia="Calibri" w:cs="Times New Roman"/>
          <w:b w:val="1"/>
          <w:bCs w:val="1"/>
          <w:color w:val="4472C4" w:themeColor="accent1" w:themeTint="FF" w:themeShade="FF"/>
          <w:sz w:val="28"/>
          <w:szCs w:val="28"/>
          <w:u w:val="single"/>
        </w:rPr>
        <w:t>@gmail.com</w:t>
      </w:r>
    </w:p>
    <w:p w:rsidR="00CC7BB6" w:rsidP="00CC7BB6" w:rsidRDefault="00CC7BB6" w14:paraId="5CDEF71D" w14:textId="77777777">
      <w:pPr>
        <w:rPr>
          <w:rFonts w:asciiTheme="majorHAnsi" w:hAnsiTheme="majorHAnsi" w:eastAsiaTheme="majorEastAsia" w:cstheme="majorBidi"/>
          <w:b/>
          <w:bCs/>
          <w:sz w:val="56"/>
          <w:szCs w:val="56"/>
        </w:rPr>
      </w:pPr>
    </w:p>
    <w:p w:rsidR="404FEF17" w:rsidP="404FEF17" w:rsidRDefault="404FEF17" w14:paraId="095F216C" w14:textId="0B9A8461">
      <w:pPr>
        <w:pStyle w:val="Normal"/>
        <w:jc w:val="center"/>
        <w:rPr>
          <w:rFonts w:ascii="Calibri Light" w:hAnsi="Calibri Light" w:eastAsia="" w:cs="Latha" w:asciiTheme="majorAscii" w:hAnsiTheme="majorAscii" w:eastAsiaTheme="majorEastAsia" w:cstheme="majorBidi"/>
          <w:b w:val="1"/>
          <w:bCs w:val="1"/>
          <w:sz w:val="56"/>
          <w:szCs w:val="56"/>
        </w:rPr>
      </w:pPr>
    </w:p>
    <w:p w:rsidR="404FEF17" w:rsidP="404FEF17" w:rsidRDefault="404FEF17" w14:paraId="03E0F1E3" w14:textId="76B36042">
      <w:pPr>
        <w:pStyle w:val="Normal"/>
        <w:jc w:val="center"/>
        <w:rPr>
          <w:rFonts w:ascii="Calibri Light" w:hAnsi="Calibri Light" w:eastAsia="" w:cs="Latha" w:asciiTheme="majorAscii" w:hAnsiTheme="majorAscii" w:eastAsiaTheme="majorEastAsia" w:cstheme="majorBidi"/>
          <w:b w:val="1"/>
          <w:bCs w:val="1"/>
          <w:sz w:val="56"/>
          <w:szCs w:val="56"/>
        </w:rPr>
      </w:pPr>
    </w:p>
    <w:p w:rsidR="027735AB" w:rsidP="59BF5714" w:rsidRDefault="027735AB" w14:paraId="5D5F8FF2" w14:textId="77785BD7">
      <w:pPr>
        <w:pStyle w:val="Normal"/>
        <w:jc w:val="center"/>
        <w:rPr>
          <w:rFonts w:ascii="Calibri Light" w:hAnsi="Calibri Light" w:eastAsia="" w:cs="Latha" w:asciiTheme="majorAscii" w:hAnsiTheme="majorAscii" w:eastAsiaTheme="majorEastAsia" w:cstheme="majorBidi"/>
          <w:b w:val="1"/>
          <w:bCs w:val="1"/>
          <w:sz w:val="56"/>
          <w:szCs w:val="56"/>
        </w:rPr>
      </w:pPr>
      <w:r w:rsidRPr="59BF5714" w:rsidR="59BF5714">
        <w:rPr>
          <w:rFonts w:ascii="Calibri Light" w:hAnsi="Calibri Light" w:eastAsia="" w:cs="Latha" w:asciiTheme="majorAscii" w:hAnsiTheme="majorAscii" w:eastAsiaTheme="majorEastAsia" w:cstheme="majorBidi"/>
          <w:b w:val="1"/>
          <w:bCs w:val="1"/>
          <w:sz w:val="56"/>
          <w:szCs w:val="56"/>
        </w:rPr>
        <w:t>DISASTER RECOVERY WITH IBM CLOUD VIRTUAL SERVERS</w:t>
      </w:r>
    </w:p>
    <w:p w:rsidR="3991F784" w:rsidP="027735AB" w:rsidRDefault="027735AB" w14:paraId="252157E9" w14:textId="44F1B440">
      <w:pPr>
        <w:jc w:val="center"/>
        <w:rPr>
          <w:rFonts w:eastAsiaTheme="minorEastAsia"/>
          <w:sz w:val="52"/>
          <w:szCs w:val="52"/>
        </w:rPr>
      </w:pPr>
      <w:r w:rsidRPr="027735AB">
        <w:rPr>
          <w:rFonts w:eastAsiaTheme="minorEastAsia"/>
          <w:sz w:val="52"/>
          <w:szCs w:val="52"/>
        </w:rPr>
        <w:t>ABSTRACT</w:t>
      </w:r>
    </w:p>
    <w:p w:rsidR="3991F784" w:rsidP="02ACDE44" w:rsidRDefault="02ACDE44" w14:paraId="237C9CE0" w14:textId="766CB8D0">
      <w:pPr>
        <w:jc w:val="both"/>
        <w:rPr>
          <w:rFonts w:asciiTheme="majorHAnsi" w:hAnsiTheme="majorHAnsi" w:eastAsiaTheme="majorEastAsia" w:cstheme="majorBidi"/>
          <w:color w:val="374151"/>
          <w:sz w:val="34"/>
          <w:szCs w:val="34"/>
        </w:rPr>
      </w:pPr>
      <w:r w:rsidRPr="02ACDE44">
        <w:rPr>
          <w:rFonts w:ascii="system-ui" w:hAnsi="system-ui" w:eastAsia="system-ui" w:cs="system-ui"/>
          <w:color w:val="374151"/>
          <w:sz w:val="24"/>
          <w:szCs w:val="24"/>
        </w:rPr>
        <w:t xml:space="preserve">           </w:t>
      </w:r>
      <w:r w:rsidRPr="02ACDE44">
        <w:rPr>
          <w:rFonts w:ascii="system-ui" w:hAnsi="system-ui" w:eastAsia="system-ui" w:cs="system-ui"/>
          <w:color w:val="374151"/>
          <w:sz w:val="32"/>
          <w:szCs w:val="32"/>
        </w:rPr>
        <w:t xml:space="preserve">  </w:t>
      </w:r>
      <w:r w:rsidRPr="02ACDE44">
        <w:rPr>
          <w:rFonts w:asciiTheme="majorHAnsi" w:hAnsiTheme="majorHAnsi" w:eastAsiaTheme="majorEastAsia" w:cstheme="majorBidi"/>
          <w:color w:val="374151"/>
          <w:sz w:val="34"/>
          <w:szCs w:val="34"/>
        </w:rPr>
        <w:t xml:space="preserve">Disaster recovery with IBM Cloud Virtual Server is a feature that allows organizations to ensure business continuity in the event of a disaster or system failure. With this feature, organizations can replicate their virtual servers and data to a secondary location in the IBM Cloud, providing a backup environment that can be quickly activated in case of a disaster. </w:t>
      </w:r>
    </w:p>
    <w:p w:rsidR="3991F784" w:rsidP="3991F784" w:rsidRDefault="3991F784" w14:paraId="153A37C9" w14:textId="62E51238">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This abstract provides an overview of how IBM Cloud Virtual Servers offer a reliable and flexible solution for disaster recovery. IBM Cloud Virtual Servers provide a scalable and resilient cloud computing platform that can be leveraged to create a comprehensive DR plan tailored to an organization's specific needs.</w:t>
      </w:r>
    </w:p>
    <w:p w:rsidR="3991F784" w:rsidP="3991F784" w:rsidRDefault="3991F784" w14:paraId="3F139C08" w14:textId="580D8465">
      <w:pPr>
        <w:jc w:val="both"/>
        <w:rPr>
          <w:rFonts w:asciiTheme="majorHAnsi" w:hAnsiTheme="majorHAnsi" w:eastAsiaTheme="majorEastAsia" w:cstheme="majorBidi"/>
          <w:color w:val="374151"/>
          <w:sz w:val="34"/>
          <w:szCs w:val="34"/>
        </w:rPr>
      </w:pPr>
      <w:r w:rsidRPr="3991F784">
        <w:rPr>
          <w:rFonts w:asciiTheme="majorHAnsi" w:hAnsiTheme="majorHAnsi" w:eastAsiaTheme="majorEastAsia" w:cstheme="majorBidi"/>
          <w:color w:val="374151"/>
          <w:sz w:val="34"/>
          <w:szCs w:val="34"/>
        </w:rPr>
        <w:t>In today's interconnected and data-driven world, organizations rely heavily on their digital infrastructure to operate efficiently and maintain business continuity. This feature provides a reliable and scalable solution for disaster recovery, allowing organizations to recover quickly and efficiently from any disruptions to their systems.</w:t>
      </w:r>
    </w:p>
    <w:p w:rsidR="02ACDE44" w:rsidP="02ACDE44" w:rsidRDefault="02ACDE44" w14:paraId="77E870B0" w14:textId="0C1BEBF2">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 xml:space="preserve">IBM Cloud Virtual Server offers various disaster recovery options, including continuous replication, backup and restore, and failover capabilities. Continuous replication ensures that data changes are continuously replicated from the primary server to the secondary </w:t>
      </w:r>
      <w:r w:rsidRPr="02ACDE44">
        <w:rPr>
          <w:rFonts w:asciiTheme="majorHAnsi" w:hAnsiTheme="majorHAnsi" w:eastAsiaTheme="majorEastAsia" w:cstheme="majorBidi"/>
          <w:color w:val="374151"/>
          <w:sz w:val="34"/>
          <w:szCs w:val="34"/>
        </w:rPr>
        <w:lastRenderedPageBreak/>
        <w:t xml:space="preserve">server, minimizing data loss in case of a disaster. Backup and restore capabilities allow organizations to create regular backups of their virtual servers and data, which can be restored in case of a failure. Failover capabilities enable organizations </w:t>
      </w:r>
      <w:proofErr w:type="gramStart"/>
      <w:r w:rsidRPr="02ACDE44">
        <w:rPr>
          <w:rFonts w:asciiTheme="majorHAnsi" w:hAnsiTheme="majorHAnsi" w:eastAsiaTheme="majorEastAsia" w:cstheme="majorBidi"/>
          <w:color w:val="374151"/>
          <w:sz w:val="34"/>
          <w:szCs w:val="34"/>
        </w:rPr>
        <w:t>to</w:t>
      </w:r>
      <w:proofErr w:type="gramEnd"/>
      <w:r w:rsidRPr="02ACDE44">
        <w:rPr>
          <w:rFonts w:asciiTheme="majorHAnsi" w:hAnsiTheme="majorHAnsi" w:eastAsiaTheme="majorEastAsia" w:cstheme="majorBidi"/>
          <w:color w:val="374151"/>
          <w:sz w:val="34"/>
          <w:szCs w:val="34"/>
        </w:rPr>
        <w:t xml:space="preserve"> quickly </w:t>
      </w:r>
    </w:p>
    <w:p w:rsidR="02ACDE44" w:rsidP="02ACDE44" w:rsidRDefault="02ACDE44" w14:paraId="007CA39A" w14:textId="030D35FF">
      <w:pPr>
        <w:jc w:val="both"/>
        <w:rPr>
          <w:rFonts w:asciiTheme="majorHAnsi" w:hAnsiTheme="majorHAnsi" w:eastAsiaTheme="majorEastAsia" w:cstheme="majorBidi"/>
          <w:color w:val="374151"/>
          <w:sz w:val="34"/>
          <w:szCs w:val="34"/>
        </w:rPr>
      </w:pPr>
      <w:proofErr w:type="gramStart"/>
      <w:r w:rsidRPr="02ACDE44">
        <w:rPr>
          <w:rFonts w:asciiTheme="majorHAnsi" w:hAnsiTheme="majorHAnsi" w:eastAsiaTheme="majorEastAsia" w:cstheme="majorBidi"/>
          <w:color w:val="374151"/>
          <w:sz w:val="34"/>
          <w:szCs w:val="34"/>
        </w:rPr>
        <w:t>switch</w:t>
      </w:r>
      <w:proofErr w:type="gramEnd"/>
      <w:r w:rsidRPr="02ACDE44">
        <w:rPr>
          <w:rFonts w:asciiTheme="majorHAnsi" w:hAnsiTheme="majorHAnsi" w:eastAsiaTheme="majorEastAsia" w:cstheme="majorBidi"/>
          <w:color w:val="374151"/>
          <w:sz w:val="34"/>
          <w:szCs w:val="34"/>
        </w:rPr>
        <w:t xml:space="preserve"> to the secondary server in case the primary server becomes unavailable.</w:t>
      </w:r>
    </w:p>
    <w:p w:rsidR="02ACDE44" w:rsidP="02ACDE44" w:rsidRDefault="02ACDE44" w14:paraId="05628413" w14:textId="71049D07">
      <w:pPr>
        <w:jc w:val="both"/>
        <w:rPr>
          <w:rFonts w:asciiTheme="majorHAnsi" w:hAnsiTheme="majorHAnsi" w:eastAsiaTheme="majorEastAsia" w:cstheme="majorBidi"/>
          <w:color w:val="374151"/>
          <w:sz w:val="34"/>
          <w:szCs w:val="34"/>
        </w:rPr>
      </w:pPr>
      <w:r w:rsidRPr="02ACDE44">
        <w:rPr>
          <w:rFonts w:asciiTheme="majorHAnsi" w:hAnsiTheme="majorHAnsi" w:eastAsiaTheme="majorEastAsia" w:cstheme="majorBidi"/>
          <w:color w:val="374151"/>
          <w:sz w:val="34"/>
          <w:szCs w:val="34"/>
        </w:rPr>
        <w:t>By leveraging IBM Cloud Virtual Server for disaster recovery, organizations can minimize downtime, protect their data, and ensure business continuity even in the face of unexpected events. This feature provides a reliable and scalable solution for disaster recovery, allowing organizations to recover quickly and efficiently from any disruptions to their systems.</w:t>
      </w:r>
    </w:p>
    <w:p w:rsidR="02ACDE44" w:rsidP="02ACDE44" w:rsidRDefault="027735AB" w14:paraId="64713704" w14:textId="5A3980CC">
      <w:pPr>
        <w:jc w:val="both"/>
        <w:rPr>
          <w:rFonts w:asciiTheme="majorHAnsi" w:hAnsiTheme="majorHAnsi" w:eastAsiaTheme="majorEastAsia" w:cstheme="majorBidi"/>
          <w:color w:val="374151"/>
          <w:sz w:val="34"/>
          <w:szCs w:val="34"/>
        </w:rPr>
      </w:pPr>
      <w:r w:rsidRPr="027735AB">
        <w:rPr>
          <w:rFonts w:asciiTheme="majorHAnsi" w:hAnsiTheme="majorHAnsi" w:eastAsiaTheme="majorEastAsia" w:cstheme="majorBidi"/>
          <w:color w:val="374151"/>
          <w:sz w:val="34"/>
          <w:szCs w:val="34"/>
        </w:rPr>
        <w:t xml:space="preserve">In today's digital age, where businesses heavily rely on their IT infrastructure, the need for robust disaster recovery solutions has never been greater. Disruptions, whether caused by natural disasters, </w:t>
      </w:r>
      <w:proofErr w:type="spellStart"/>
      <w:r w:rsidRPr="027735AB">
        <w:rPr>
          <w:rFonts w:asciiTheme="majorHAnsi" w:hAnsiTheme="majorHAnsi" w:eastAsiaTheme="majorEastAsia" w:cstheme="majorBidi"/>
          <w:color w:val="374151"/>
          <w:sz w:val="34"/>
          <w:szCs w:val="34"/>
        </w:rPr>
        <w:t>cyberattacks</w:t>
      </w:r>
      <w:proofErr w:type="spellEnd"/>
      <w:r w:rsidRPr="027735AB">
        <w:rPr>
          <w:rFonts w:asciiTheme="majorHAnsi" w:hAnsiTheme="majorHAnsi" w:eastAsiaTheme="majorEastAsia" w:cstheme="majorBidi"/>
          <w:color w:val="374151"/>
          <w:sz w:val="34"/>
          <w:szCs w:val="34"/>
        </w:rPr>
        <w:t>, or hardware failures, can lead to data loss and downtime, with potentially devastating consequences. IBM Cloud Virtual Servers offer a compelling solution to address these challenges and ensure business continuity.</w:t>
      </w:r>
    </w:p>
    <w:p w:rsidR="027735AB" w:rsidP="027735AB" w:rsidRDefault="027735AB" w14:paraId="17132365" w14:textId="0AD57D7B">
      <w:pPr>
        <w:jc w:val="center"/>
        <w:rPr>
          <w:rFonts w:eastAsiaTheme="minorEastAsia"/>
          <w:sz w:val="52"/>
          <w:szCs w:val="52"/>
        </w:rPr>
      </w:pPr>
      <w:r w:rsidRPr="027735AB">
        <w:rPr>
          <w:rFonts w:eastAsiaTheme="minorEastAsia"/>
          <w:sz w:val="52"/>
          <w:szCs w:val="52"/>
        </w:rPr>
        <w:t>PROBLEM DEFINITION</w:t>
      </w:r>
    </w:p>
    <w:p w:rsidR="3991F784" w:rsidP="02ACDE44" w:rsidRDefault="02ACDE44" w14:paraId="5CAD9B8B" w14:textId="2FB306B0">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It refers to the processes and procedures put in place to ensure the continuity and availability of critical systems and data in the event of a disaster or disruption.</w:t>
      </w:r>
    </w:p>
    <w:p w:rsidR="3991F784" w:rsidP="02ACDE44" w:rsidRDefault="02ACDE44" w14:paraId="11AF295B" w14:textId="1D21CBE6">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 xml:space="preserve">IBM Cloud Virtual Server is a cloud-based infrastructure service offered by IBM that provides businesses with virtual servers hosted on the IBM Cloud platform. With its scalable and flexible </w:t>
      </w:r>
      <w:r w:rsidRPr="02ACDE44">
        <w:rPr>
          <w:rFonts w:asciiTheme="majorHAnsi" w:hAnsiTheme="majorHAnsi" w:eastAsiaTheme="majorEastAsia" w:cstheme="majorBidi"/>
          <w:sz w:val="34"/>
          <w:szCs w:val="34"/>
        </w:rPr>
        <w:lastRenderedPageBreak/>
        <w:t>architecture, IBM Cloud Virtual Server is an ideal solution for disaster recovery.</w:t>
      </w:r>
    </w:p>
    <w:p w:rsidR="3991F784" w:rsidP="02ACDE44" w:rsidRDefault="02ACDE44" w14:paraId="72453174" w14:textId="7E2882CE">
      <w:pPr>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To implement disaster recovery using IBM Cloud Virtual Server, businesses can leverage various features and capabilities offered by the platform:</w:t>
      </w:r>
    </w:p>
    <w:p w:rsidR="3991F784" w:rsidP="02ACDE44" w:rsidRDefault="02ACDE44" w14:paraId="2AC41558" w14:textId="2F8771E2">
      <w:pPr>
        <w:jc w:val="both"/>
        <w:rPr>
          <w:rFonts w:asciiTheme="majorHAnsi" w:hAnsiTheme="majorHAnsi" w:eastAsiaTheme="majorEastAsia" w:cstheme="majorBidi"/>
          <w:sz w:val="34"/>
          <w:szCs w:val="34"/>
        </w:rPr>
      </w:pPr>
      <w:r w:rsidRPr="02ACDE44">
        <w:rPr>
          <w:rFonts w:eastAsiaTheme="minorEastAsia"/>
          <w:sz w:val="36"/>
          <w:szCs w:val="36"/>
        </w:rPr>
        <w:t>1. DATA REPLICATION:</w:t>
      </w:r>
      <w:r w:rsidRPr="02ACDE44">
        <w:rPr>
          <w:rFonts w:asciiTheme="majorHAnsi" w:hAnsiTheme="majorHAnsi" w:eastAsiaTheme="majorEastAsia" w:cstheme="majorBidi"/>
          <w:sz w:val="34"/>
          <w:szCs w:val="34"/>
        </w:rPr>
        <w:t xml:space="preserve"> IBM Cloud Virtual Server allows businesses to replicate their data across different geographic locations. This ensures that even if one location is affected by a disaster, the data remains available and accessible from other locations.</w:t>
      </w:r>
    </w:p>
    <w:p w:rsidR="3991F784" w:rsidP="02ACDE44" w:rsidRDefault="02ACDE44" w14:paraId="268A83F3" w14:textId="0848D656">
      <w:pPr>
        <w:jc w:val="both"/>
        <w:rPr>
          <w:rFonts w:asciiTheme="majorHAnsi" w:hAnsiTheme="majorHAnsi" w:eastAsiaTheme="majorEastAsia" w:cstheme="majorBidi"/>
          <w:sz w:val="34"/>
          <w:szCs w:val="34"/>
        </w:rPr>
      </w:pPr>
      <w:r w:rsidRPr="02ACDE44">
        <w:rPr>
          <w:rFonts w:eastAsiaTheme="minorEastAsia"/>
          <w:sz w:val="36"/>
          <w:szCs w:val="36"/>
        </w:rPr>
        <w:t xml:space="preserve"> 2. AUTOMATED FAILOVER:</w:t>
      </w:r>
      <w:r w:rsidRPr="02ACDE44">
        <w:rPr>
          <w:rFonts w:asciiTheme="majorHAnsi" w:hAnsiTheme="majorHAnsi" w:eastAsiaTheme="majorEastAsia" w:cstheme="majorBidi"/>
          <w:sz w:val="34"/>
          <w:szCs w:val="34"/>
        </w:rPr>
        <w:t xml:space="preserve"> IBM Cloud Virtual Server offers automated failover capabilities, which means that in the event of a disaster, the workload is automatically transferred to a secondary site or server. This minimizes downtime and ensures business continuity. By implementing automated failover in IBM Cloud Virtual Server, businesses can significantly reduce the risk of downtime and ensure the continuous availability of their critical systems and data.</w:t>
      </w:r>
    </w:p>
    <w:p w:rsidR="3991F784" w:rsidP="02ACDE44" w:rsidRDefault="02ACDE44" w14:paraId="1B7C43B8" w14:textId="53988354">
      <w:pPr>
        <w:jc w:val="both"/>
        <w:rPr>
          <w:rFonts w:asciiTheme="majorHAnsi" w:hAnsiTheme="majorHAnsi" w:eastAsiaTheme="majorEastAsia" w:cstheme="majorBidi"/>
          <w:sz w:val="34"/>
          <w:szCs w:val="34"/>
        </w:rPr>
      </w:pPr>
      <w:r w:rsidRPr="02ACDE44">
        <w:rPr>
          <w:rFonts w:eastAsiaTheme="minorEastAsia"/>
          <w:sz w:val="36"/>
          <w:szCs w:val="36"/>
        </w:rPr>
        <w:t>3. BACKUP AND RESTORE:</w:t>
      </w:r>
      <w:r w:rsidRPr="02ACDE44">
        <w:rPr>
          <w:rFonts w:asciiTheme="majorHAnsi" w:hAnsiTheme="majorHAnsi" w:eastAsiaTheme="majorEastAsia" w:cstheme="majorBidi"/>
          <w:sz w:val="34"/>
          <w:szCs w:val="34"/>
        </w:rPr>
        <w:t xml:space="preserve"> IBM Cloud Virtual Server provides backup and restore functionality, allowing businesses to create regular backups of their virtual servers. These backups can be quickly restored in the event of a disaster, ensuring minimal data loss.</w:t>
      </w:r>
    </w:p>
    <w:p w:rsidR="3991F784" w:rsidP="02ACDE44" w:rsidRDefault="02ACDE44" w14:paraId="14DAF3C1" w14:textId="2438C130">
      <w:pPr>
        <w:jc w:val="both"/>
        <w:rPr>
          <w:rFonts w:asciiTheme="majorHAnsi" w:hAnsiTheme="majorHAnsi" w:eastAsiaTheme="majorEastAsia" w:cstheme="majorBidi"/>
          <w:sz w:val="34"/>
          <w:szCs w:val="34"/>
        </w:rPr>
      </w:pPr>
      <w:r w:rsidRPr="02ACDE44">
        <w:rPr>
          <w:rFonts w:eastAsiaTheme="minorEastAsia"/>
          <w:sz w:val="36"/>
          <w:szCs w:val="36"/>
        </w:rPr>
        <w:t>4. HIGH AVAILABILITY:</w:t>
      </w:r>
      <w:r w:rsidRPr="02ACDE44">
        <w:rPr>
          <w:rFonts w:asciiTheme="majorHAnsi" w:hAnsiTheme="majorHAnsi" w:eastAsiaTheme="majorEastAsia" w:cstheme="majorBidi"/>
          <w:sz w:val="34"/>
          <w:szCs w:val="34"/>
        </w:rPr>
        <w:t xml:space="preserve"> IBM Cloud Virtual Server offers high availability options, such as load balancing and clustering, which distribute workloads across multiple servers. This ensures that even if one server fails, the workload is automatically redirected to other available servers, minimizing downtime. </w:t>
      </w:r>
    </w:p>
    <w:p w:rsidR="3991F784" w:rsidP="02ACDE44" w:rsidRDefault="02ACDE44" w14:paraId="1FBE84B8" w14:textId="49F2D789">
      <w:pPr>
        <w:jc w:val="both"/>
        <w:rPr>
          <w:rFonts w:asciiTheme="majorHAnsi" w:hAnsiTheme="majorHAnsi" w:eastAsiaTheme="majorEastAsia" w:cstheme="majorBidi"/>
          <w:sz w:val="34"/>
          <w:szCs w:val="34"/>
        </w:rPr>
      </w:pPr>
      <w:r w:rsidRPr="02ACDE44">
        <w:rPr>
          <w:rFonts w:eastAsiaTheme="minorEastAsia"/>
          <w:sz w:val="36"/>
          <w:szCs w:val="36"/>
        </w:rPr>
        <w:lastRenderedPageBreak/>
        <w:t>5. TESTING AND VALIDATION:</w:t>
      </w:r>
      <w:r w:rsidRPr="02ACDE44">
        <w:rPr>
          <w:rFonts w:asciiTheme="majorHAnsi" w:hAnsiTheme="majorHAnsi" w:eastAsiaTheme="majorEastAsia" w:cstheme="majorBidi"/>
          <w:sz w:val="34"/>
          <w:szCs w:val="34"/>
        </w:rPr>
        <w:t xml:space="preserve"> IBM Cloud Virtual Server allows businesses to test and validate their disaster recovery plans without impacting production environments. This helps identify any potential issues or gaps in the plan and ensures that the recovery process is efficient and effective.</w:t>
      </w:r>
    </w:p>
    <w:p w:rsidR="3991F784" w:rsidP="02ACDE44" w:rsidRDefault="02ACDE44" w14:paraId="565AB0C1" w14:textId="3A583625">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6. SCALABILITY:</w:t>
      </w:r>
      <w:r w:rsidRPr="02ACDE44">
        <w:rPr>
          <w:rFonts w:asciiTheme="majorHAnsi" w:hAnsiTheme="majorHAnsi" w:eastAsiaTheme="majorEastAsia" w:cstheme="majorBidi"/>
          <w:color w:val="374151"/>
          <w:sz w:val="34"/>
          <w:szCs w:val="34"/>
        </w:rPr>
        <w:t xml:space="preserve"> IBM Cloud Virtual Servers allow organizations to scale their compute resources up or down based on demand. This scalability ensures that DR resources can match the evolving needs of the business.</w:t>
      </w:r>
    </w:p>
    <w:p w:rsidR="3991F784" w:rsidP="02ACDE44" w:rsidRDefault="02ACDE44" w14:paraId="742B54B6" w14:textId="728C25EC">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 xml:space="preserve">7. SNAPSHOT-BASED BACKUPS: </w:t>
      </w:r>
      <w:r w:rsidRPr="02ACDE44">
        <w:rPr>
          <w:rFonts w:asciiTheme="majorHAnsi" w:hAnsiTheme="majorHAnsi" w:eastAsiaTheme="majorEastAsia" w:cstheme="majorBidi"/>
          <w:color w:val="374151"/>
          <w:sz w:val="34"/>
          <w:szCs w:val="34"/>
        </w:rPr>
        <w:t>IBM Cloud Virtual Servers support snapshot-based backups, enabling point-in-time recovery of virtual server instances. This feature ensures minimal data loss in the event of a disaster.</w:t>
      </w:r>
    </w:p>
    <w:p w:rsidR="3991F784" w:rsidP="02ACDE44" w:rsidRDefault="02ACDE44" w14:paraId="7505970B" w14:textId="188FBCD9">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8. NETWORK REDUNDANCY</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Cloud's global network infrastructure is designed for high availability and redundancy, reducing the risk of network-related downtime during a disaster recovery scenario.</w:t>
      </w:r>
    </w:p>
    <w:p w:rsidR="3991F784" w:rsidP="02ACDE44" w:rsidRDefault="02ACDE44" w14:paraId="21CD50F3" w14:textId="331A2BB2">
      <w:pPr>
        <w:spacing w:after="0"/>
        <w:jc w:val="both"/>
        <w:rPr>
          <w:rFonts w:ascii="system-ui" w:hAnsi="system-ui" w:eastAsia="system-ui" w:cs="system-ui"/>
          <w:color w:val="374151"/>
          <w:sz w:val="34"/>
          <w:szCs w:val="34"/>
        </w:rPr>
      </w:pPr>
      <w:r w:rsidRPr="02ACDE44">
        <w:rPr>
          <w:rFonts w:asciiTheme="majorHAnsi" w:hAnsiTheme="majorHAnsi" w:eastAsiaTheme="majorEastAsia" w:cstheme="majorBidi"/>
          <w:b/>
          <w:bCs/>
          <w:color w:val="374151"/>
          <w:sz w:val="36"/>
          <w:szCs w:val="36"/>
        </w:rPr>
        <w:t>9. MULTI-HYPERVISOR SUPPORT</w:t>
      </w:r>
      <w:r w:rsidRPr="02ACDE44">
        <w:rPr>
          <w:rFonts w:asciiTheme="majorHAnsi" w:hAnsiTheme="majorHAnsi" w:eastAsiaTheme="majorEastAsia" w:cstheme="majorBidi"/>
          <w:color w:val="374151"/>
          <w:sz w:val="36"/>
          <w:szCs w:val="36"/>
        </w:rPr>
        <w:t xml:space="preserve">: </w:t>
      </w:r>
      <w:r w:rsidRPr="02ACDE44">
        <w:rPr>
          <w:rFonts w:asciiTheme="majorHAnsi" w:hAnsiTheme="majorHAnsi" w:eastAsiaTheme="majorEastAsia" w:cstheme="majorBidi"/>
          <w:color w:val="374151"/>
          <w:sz w:val="34"/>
          <w:szCs w:val="34"/>
        </w:rPr>
        <w:t>IBM Cloud Virtual Servers support various hypervisors, including VMware, KVM, and Hyper-V. This flexibility allows organizations to replicate and recover their virtualized environments seamlessly.</w:t>
      </w:r>
    </w:p>
    <w:p w:rsidR="3991F784" w:rsidP="02ACDE44" w:rsidRDefault="3991F784" w14:paraId="256A7E53" w14:textId="1E2A7648">
      <w:pPr>
        <w:spacing w:after="0"/>
        <w:jc w:val="both"/>
        <w:rPr>
          <w:rFonts w:asciiTheme="majorHAnsi" w:hAnsiTheme="majorHAnsi" w:eastAsiaTheme="majorEastAsia" w:cstheme="majorBidi"/>
          <w:color w:val="374151"/>
          <w:sz w:val="34"/>
          <w:szCs w:val="34"/>
        </w:rPr>
      </w:pPr>
    </w:p>
    <w:p w:rsidR="3991F784" w:rsidP="02ACDE44" w:rsidRDefault="02ACDE44" w14:paraId="7ABB1677" w14:textId="1A273FFC">
      <w:pPr>
        <w:spacing w:line="240" w:lineRule="auto"/>
        <w:jc w:val="both"/>
        <w:rPr>
          <w:rFonts w:asciiTheme="majorHAnsi" w:hAnsiTheme="majorHAnsi" w:eastAsiaTheme="majorEastAsia" w:cstheme="majorBidi"/>
          <w:sz w:val="34"/>
          <w:szCs w:val="34"/>
        </w:rPr>
      </w:pPr>
      <w:r w:rsidRPr="02ACDE44">
        <w:rPr>
          <w:rFonts w:asciiTheme="majorHAnsi" w:hAnsiTheme="majorHAnsi" w:eastAsiaTheme="majorEastAsia" w:cstheme="majorBidi"/>
          <w:sz w:val="34"/>
          <w:szCs w:val="34"/>
        </w:rPr>
        <w:t>Disaster recovery is a crucial aspect of any business's IT infrastructure, and IBM Cloud Virtual Server offers a reliable and scalable solution for implementing disaster recovery strategies. In this introduction, we will explore the features and capabilities of IBM Cloud Virtual Server that make it an ideal choice for businesses looking to ensure the continuity and availability of their critical systems.</w:t>
      </w:r>
    </w:p>
    <w:p w:rsidR="3991F784" w:rsidP="02ACDE44" w:rsidRDefault="02ACDE44" w14:paraId="7993509D" w14:textId="24F1ADFD">
      <w:pPr>
        <w:spacing w:line="240" w:lineRule="auto"/>
        <w:jc w:val="both"/>
        <w:rPr>
          <w:rFonts w:asciiTheme="majorHAnsi" w:hAnsiTheme="majorHAnsi" w:eastAsiaTheme="majorEastAsia" w:cstheme="majorBidi"/>
          <w:sz w:val="34"/>
          <w:szCs w:val="34"/>
        </w:rPr>
      </w:pPr>
      <w:r w:rsidRPr="404FEF17" w:rsidR="404FEF17">
        <w:rPr>
          <w:rFonts w:ascii="Calibri Light" w:hAnsi="Calibri Light" w:eastAsia="" w:cs="Latha" w:asciiTheme="majorAscii" w:hAnsiTheme="majorAscii" w:eastAsiaTheme="majorEastAsia" w:cstheme="majorBidi"/>
          <w:sz w:val="34"/>
          <w:szCs w:val="34"/>
        </w:rPr>
        <w:t xml:space="preserve">Overall, IBM Cloud Virtual Server provides businesses with a robust and reliable platform for implementing disaster recovery </w:t>
      </w:r>
      <w:r w:rsidRPr="404FEF17" w:rsidR="404FEF17">
        <w:rPr>
          <w:rFonts w:ascii="Calibri Light" w:hAnsi="Calibri Light" w:eastAsia="" w:cs="Latha" w:asciiTheme="majorAscii" w:hAnsiTheme="majorAscii" w:eastAsiaTheme="majorEastAsia" w:cstheme="majorBidi"/>
          <w:sz w:val="34"/>
          <w:szCs w:val="34"/>
        </w:rPr>
        <w:t>strategies .</w:t>
      </w:r>
    </w:p>
    <w:p w:rsidR="404FEF17" w:rsidP="404FEF17" w:rsidRDefault="404FEF17" w14:paraId="2F1384EB" w14:textId="4674E82B">
      <w:pPr>
        <w:pStyle w:val="Normal"/>
        <w:rPr>
          <w:rFonts w:eastAsia="" w:eastAsiaTheme="minorEastAsia"/>
          <w:sz w:val="52"/>
          <w:szCs w:val="52"/>
        </w:rPr>
      </w:pPr>
    </w:p>
    <w:p w:rsidR="02ACDE44" w:rsidP="404FEF17" w:rsidRDefault="02ACDE44" w14:paraId="37C61B55" w14:textId="2D707B37">
      <w:pPr>
        <w:pStyle w:val="Normal"/>
        <w:jc w:val="center"/>
        <w:rPr>
          <w:rFonts w:eastAsia="" w:eastAsiaTheme="minorEastAsia"/>
          <w:sz w:val="60"/>
          <w:szCs w:val="60"/>
        </w:rPr>
      </w:pPr>
      <w:r w:rsidRPr="404FEF17" w:rsidR="404FEF17">
        <w:rPr>
          <w:rFonts w:eastAsia="" w:eastAsiaTheme="minorEastAsia"/>
          <w:sz w:val="52"/>
          <w:szCs w:val="52"/>
        </w:rPr>
        <w:t>DESIGN THINKING</w:t>
      </w:r>
    </w:p>
    <w:p w:rsidRPr="00EB33CD" w:rsidR="02ACDE44" w:rsidP="00EB33CD" w:rsidRDefault="02ACDE44" w14:paraId="2A779E65" w14:textId="0D081070">
      <w:pPr>
        <w:jc w:val="center"/>
      </w:pPr>
      <w:r>
        <w:rPr>
          <w:noProof/>
          <w:lang w:val="en-IN" w:eastAsia="en-IN" w:bidi="ta-IN"/>
        </w:rPr>
        <w:drawing>
          <wp:inline distT="0" distB="0" distL="0" distR="0" wp14:anchorId="43573991" wp14:editId="2B5A3244">
            <wp:extent cx="5767388" cy="5925152"/>
            <wp:effectExtent l="0" t="0" r="0" b="0"/>
            <wp:docPr id="1921689236" name="Picture 1921689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7388" cy="5925152"/>
                    </a:xfrm>
                    <a:prstGeom prst="rect">
                      <a:avLst/>
                    </a:prstGeom>
                  </pic:spPr>
                </pic:pic>
              </a:graphicData>
            </a:graphic>
          </wp:inline>
        </w:drawing>
      </w:r>
      <w:bookmarkStart w:name="_GoBack" w:id="0"/>
      <w:bookmarkEnd w:id="0"/>
    </w:p>
    <w:p w:rsidR="02ACDE44" w:rsidP="02ACDE44" w:rsidRDefault="02ACDE44" w14:paraId="40B53D58" w14:textId="744A5180">
      <w:pPr>
        <w:jc w:val="center"/>
      </w:pPr>
    </w:p>
    <w:p w:rsidR="02ACDE44" w:rsidP="02ACDE44" w:rsidRDefault="02ACDE44" w14:paraId="6C6544F2" w14:textId="7A927DB9">
      <w:pPr>
        <w:jc w:val="center"/>
      </w:pPr>
    </w:p>
    <w:p w:rsidR="02ACDE44" w:rsidP="02ACDE44" w:rsidRDefault="02ACDE44" w14:paraId="1C278625" w14:textId="2D9BFAFF">
      <w:pPr>
        <w:jc w:val="center"/>
      </w:pPr>
      <w:r>
        <w:rPr>
          <w:noProof/>
          <w:lang w:val="en-IN" w:eastAsia="en-IN" w:bidi="ta-IN"/>
        </w:rPr>
        <w:drawing>
          <wp:inline distT="0" distB="0" distL="0" distR="0" wp14:anchorId="4711176E" wp14:editId="57756472">
            <wp:extent cx="5857875" cy="6579394"/>
            <wp:effectExtent l="0" t="0" r="0" b="0"/>
            <wp:docPr id="2098985663" name="Picture 209898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57875" cy="6579394"/>
                    </a:xfrm>
                    <a:prstGeom prst="rect">
                      <a:avLst/>
                    </a:prstGeom>
                  </pic:spPr>
                </pic:pic>
              </a:graphicData>
            </a:graphic>
          </wp:inline>
        </w:drawing>
      </w:r>
    </w:p>
    <w:p w:rsidR="02ACDE44" w:rsidP="02ACDE44" w:rsidRDefault="02ACDE44" w14:paraId="6AC742AD" w14:textId="563E7486">
      <w:pPr>
        <w:jc w:val="center"/>
      </w:pPr>
    </w:p>
    <w:p w:rsidR="02ACDE44" w:rsidP="02ACDE44" w:rsidRDefault="02ACDE44" w14:paraId="0E270117" w14:textId="44DB0BAE">
      <w:pPr>
        <w:rPr>
          <w:rFonts w:asciiTheme="majorHAnsi" w:hAnsiTheme="majorHAnsi" w:eastAsiaTheme="majorEastAsia" w:cstheme="majorBidi"/>
          <w:sz w:val="34"/>
          <w:szCs w:val="34"/>
        </w:rPr>
      </w:pPr>
    </w:p>
    <w:p w:rsidR="02ACDE44" w:rsidP="02ACDE44" w:rsidRDefault="02ACDE44" w14:paraId="1ACF61A4" w14:textId="13FCC99A">
      <w:pPr>
        <w:jc w:val="center"/>
      </w:pPr>
    </w:p>
    <w:sectPr w:rsidR="02ACDE44" w:rsidSect="00CC7BB6">
      <w:headerReference w:type="default" r:id="rId12"/>
      <w:footerReference w:type="default" r:id="rId13"/>
      <w:pgSz w:w="11907" w:h="16839"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172" w:rsidRDefault="00BE1172" w14:paraId="5E079B97" w14:textId="77777777">
      <w:pPr>
        <w:spacing w:after="0" w:line="240" w:lineRule="auto"/>
      </w:pPr>
      <w:r>
        <w:separator/>
      </w:r>
    </w:p>
  </w:endnote>
  <w:endnote w:type="continuationSeparator" w:id="0">
    <w:p w:rsidR="00BE1172" w:rsidRDefault="00BE1172" w14:paraId="52C7D5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6081D104" w14:textId="77777777">
      <w:trPr>
        <w:trHeight w:val="300"/>
      </w:trPr>
      <w:tc>
        <w:tcPr>
          <w:tcW w:w="3005" w:type="dxa"/>
        </w:tcPr>
        <w:p w:rsidR="02ACDE44" w:rsidP="02ACDE44" w:rsidRDefault="02ACDE44" w14:paraId="1BE76E78" w14:textId="23394FB1">
          <w:pPr>
            <w:pStyle w:val="Header"/>
            <w:ind w:left="-115"/>
          </w:pPr>
        </w:p>
      </w:tc>
      <w:tc>
        <w:tcPr>
          <w:tcW w:w="3005" w:type="dxa"/>
        </w:tcPr>
        <w:p w:rsidR="02ACDE44" w:rsidP="02ACDE44" w:rsidRDefault="02ACDE44" w14:paraId="38692B1F" w14:textId="0C790242">
          <w:pPr>
            <w:pStyle w:val="Header"/>
            <w:jc w:val="center"/>
          </w:pPr>
        </w:p>
      </w:tc>
      <w:tc>
        <w:tcPr>
          <w:tcW w:w="3005" w:type="dxa"/>
        </w:tcPr>
        <w:p w:rsidR="02ACDE44" w:rsidP="02ACDE44" w:rsidRDefault="02ACDE44" w14:paraId="588750F0" w14:textId="43A6F270">
          <w:pPr>
            <w:pStyle w:val="Header"/>
            <w:ind w:right="-115"/>
            <w:jc w:val="right"/>
          </w:pPr>
        </w:p>
      </w:tc>
    </w:tr>
  </w:tbl>
  <w:p w:rsidR="02ACDE44" w:rsidP="02ACDE44" w:rsidRDefault="02ACDE44" w14:paraId="1EA24A6E" w14:textId="68A29D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172" w:rsidRDefault="00BE1172" w14:paraId="70E6C342" w14:textId="77777777">
      <w:pPr>
        <w:spacing w:after="0" w:line="240" w:lineRule="auto"/>
      </w:pPr>
      <w:r>
        <w:separator/>
      </w:r>
    </w:p>
  </w:footnote>
  <w:footnote w:type="continuationSeparator" w:id="0">
    <w:p w:rsidR="00BE1172" w:rsidRDefault="00BE1172" w14:paraId="57F28A6D"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2ACDE44" w:rsidTr="02ACDE44" w14:paraId="2C92BD8A" w14:textId="77777777">
      <w:trPr>
        <w:trHeight w:val="300"/>
      </w:trPr>
      <w:tc>
        <w:tcPr>
          <w:tcW w:w="3005" w:type="dxa"/>
        </w:tcPr>
        <w:p w:rsidR="02ACDE44" w:rsidP="02ACDE44" w:rsidRDefault="02ACDE44" w14:paraId="2B508CFF" w14:textId="1EF1C633">
          <w:pPr>
            <w:pStyle w:val="Header"/>
            <w:ind w:left="-115"/>
          </w:pPr>
        </w:p>
      </w:tc>
      <w:tc>
        <w:tcPr>
          <w:tcW w:w="3005" w:type="dxa"/>
        </w:tcPr>
        <w:p w:rsidR="02ACDE44" w:rsidP="02ACDE44" w:rsidRDefault="02ACDE44" w14:paraId="687191BA" w14:textId="7AC90C72">
          <w:pPr>
            <w:pStyle w:val="Header"/>
            <w:jc w:val="center"/>
          </w:pPr>
        </w:p>
      </w:tc>
      <w:tc>
        <w:tcPr>
          <w:tcW w:w="3005" w:type="dxa"/>
        </w:tcPr>
        <w:p w:rsidR="02ACDE44" w:rsidP="02ACDE44" w:rsidRDefault="02ACDE44" w14:paraId="22D5BE24" w14:textId="49262E44">
          <w:pPr>
            <w:pStyle w:val="Header"/>
            <w:ind w:right="-115"/>
            <w:jc w:val="right"/>
          </w:pPr>
        </w:p>
      </w:tc>
    </w:tr>
  </w:tbl>
  <w:p w:rsidR="02ACDE44" w:rsidP="02ACDE44" w:rsidRDefault="02ACDE44" w14:paraId="7F7817CC" w14:textId="2232BE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31790"/>
    <w:multiLevelType w:val="hybridMultilevel"/>
    <w:tmpl w:val="09FC70BC"/>
    <w:lvl w:ilvl="0" w:tplc="63AE9AB6">
      <w:start w:val="1"/>
      <w:numFmt w:val="bullet"/>
      <w:lvlText w:val=""/>
      <w:lvlJc w:val="left"/>
      <w:pPr>
        <w:ind w:left="720" w:hanging="360"/>
      </w:pPr>
      <w:rPr>
        <w:rFonts w:hint="default" w:ascii="Symbol" w:hAnsi="Symbol"/>
      </w:rPr>
    </w:lvl>
    <w:lvl w:ilvl="1" w:tplc="A3D6EB60">
      <w:start w:val="1"/>
      <w:numFmt w:val="bullet"/>
      <w:lvlText w:val="o"/>
      <w:lvlJc w:val="left"/>
      <w:pPr>
        <w:ind w:left="1440" w:hanging="360"/>
      </w:pPr>
      <w:rPr>
        <w:rFonts w:hint="default" w:ascii="Courier New" w:hAnsi="Courier New"/>
      </w:rPr>
    </w:lvl>
    <w:lvl w:ilvl="2" w:tplc="81540936">
      <w:start w:val="1"/>
      <w:numFmt w:val="bullet"/>
      <w:lvlText w:val=""/>
      <w:lvlJc w:val="left"/>
      <w:pPr>
        <w:ind w:left="2160" w:hanging="360"/>
      </w:pPr>
      <w:rPr>
        <w:rFonts w:hint="default" w:ascii="Wingdings" w:hAnsi="Wingdings"/>
      </w:rPr>
    </w:lvl>
    <w:lvl w:ilvl="3" w:tplc="C1CC4706">
      <w:start w:val="1"/>
      <w:numFmt w:val="bullet"/>
      <w:lvlText w:val=""/>
      <w:lvlJc w:val="left"/>
      <w:pPr>
        <w:ind w:left="2880" w:hanging="360"/>
      </w:pPr>
      <w:rPr>
        <w:rFonts w:hint="default" w:ascii="Symbol" w:hAnsi="Symbol"/>
      </w:rPr>
    </w:lvl>
    <w:lvl w:ilvl="4" w:tplc="428C6C0C">
      <w:start w:val="1"/>
      <w:numFmt w:val="bullet"/>
      <w:lvlText w:val="o"/>
      <w:lvlJc w:val="left"/>
      <w:pPr>
        <w:ind w:left="3600" w:hanging="360"/>
      </w:pPr>
      <w:rPr>
        <w:rFonts w:hint="default" w:ascii="Courier New" w:hAnsi="Courier New"/>
      </w:rPr>
    </w:lvl>
    <w:lvl w:ilvl="5" w:tplc="60B46200">
      <w:start w:val="1"/>
      <w:numFmt w:val="bullet"/>
      <w:lvlText w:val=""/>
      <w:lvlJc w:val="left"/>
      <w:pPr>
        <w:ind w:left="4320" w:hanging="360"/>
      </w:pPr>
      <w:rPr>
        <w:rFonts w:hint="default" w:ascii="Wingdings" w:hAnsi="Wingdings"/>
      </w:rPr>
    </w:lvl>
    <w:lvl w:ilvl="6" w:tplc="10E0A474">
      <w:start w:val="1"/>
      <w:numFmt w:val="bullet"/>
      <w:lvlText w:val=""/>
      <w:lvlJc w:val="left"/>
      <w:pPr>
        <w:ind w:left="5040" w:hanging="360"/>
      </w:pPr>
      <w:rPr>
        <w:rFonts w:hint="default" w:ascii="Symbol" w:hAnsi="Symbol"/>
      </w:rPr>
    </w:lvl>
    <w:lvl w:ilvl="7" w:tplc="768EAD3A">
      <w:start w:val="1"/>
      <w:numFmt w:val="bullet"/>
      <w:lvlText w:val="o"/>
      <w:lvlJc w:val="left"/>
      <w:pPr>
        <w:ind w:left="5760" w:hanging="360"/>
      </w:pPr>
      <w:rPr>
        <w:rFonts w:hint="default" w:ascii="Courier New" w:hAnsi="Courier New"/>
      </w:rPr>
    </w:lvl>
    <w:lvl w:ilvl="8" w:tplc="F8A22524">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EE797"/>
    <w:rsid w:val="00BE1172"/>
    <w:rsid w:val="00CC7BB6"/>
    <w:rsid w:val="00EB33CD"/>
    <w:rsid w:val="00ED7D7C"/>
    <w:rsid w:val="027735AB"/>
    <w:rsid w:val="02ACDE44"/>
    <w:rsid w:val="3991F784"/>
    <w:rsid w:val="404FEF17"/>
    <w:rsid w:val="59BF5714"/>
    <w:rsid w:val="6C6EE7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C7B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CC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B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footer" Target="footer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rubika sri</dc:creator>
  <keywords/>
  <dc:description/>
  <lastModifiedBy>rubika sri</lastModifiedBy>
  <revision>5</revision>
  <dcterms:created xsi:type="dcterms:W3CDTF">2023-09-29T08:18:00.0000000Z</dcterms:created>
  <dcterms:modified xsi:type="dcterms:W3CDTF">2023-09-30T07:44:47.4501502Z</dcterms:modified>
</coreProperties>
</file>