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0033"/>
          <w:sz w:val="44"/>
          <w:szCs w:val="44"/>
        </w:rPr>
        <w:t xml:space="preserve">Qorix Product Dashboard</w:t>
      </w:r>
    </w:p>
    <w:p>
      <w:pPr>
        <w:spacing w:after="300"/>
      </w:pPr>
      <w:r>
        <w:rPr>
          <w:b/>
          <w:bCs/>
          <w:color w:val="3A00F5"/>
          <w:sz w:val="30"/>
          <w:szCs w:val="30"/>
        </w:rPr>
        <w:t xml:space="preserve">Requirements, Design &amp; Concept</w:t>
      </w:r>
    </w:p>
    <w:p>
      <w:pPr>
        <w:spacing w:after="40"/>
      </w:pPr>
      <w:r>
        <w:rPr>
          <w:color w:val="475569"/>
          <w:sz w:val="19"/>
          <w:szCs w:val="19"/>
        </w:rPr>
        <w:t xml:space="preserve">Prepared by: Swati Davari — Head of Governance &amp; Compliance, Qorix</w:t>
      </w:r>
    </w:p>
    <w:p>
      <w:pPr>
        <w:spacing w:after="40"/>
      </w:pPr>
      <w:r>
        <w:rPr>
          <w:color w:val="475569"/>
          <w:sz w:val="19"/>
          <w:szCs w:val="19"/>
        </w:rPr>
        <w:t xml:space="preserve">Repository: Qorix-G-C  ·  Covers: dashboard.html, product.html, assets/data.js, assets/styles.css, server.js</w:t>
      </w:r>
    </w:p>
    <w:p>
      <w:pPr>
        <w:spacing w:after="300"/>
      </w:pPr>
      <w:r>
        <w:rPr>
          <w:color w:val="475569"/>
          <w:sz w:val="19"/>
          <w:szCs w:val="19"/>
        </w:rPr>
        <w:t xml:space="preserve">Document date: 16 September 2026 — reflects the repository as of that date</w:t>
      </w:r>
    </w:p>
    <w:p>
      <w:pPr>
        <w:pStyle w:val="Heading1"/>
        <w:pBdr>
          <w:bottom w:val="single" w:color="3A00F5" w:sz="6" w:space="4"/>
        </w:pBdr>
        <w:spacing w:after="200" w:before="400"/>
      </w:pPr>
      <w:r>
        <w:rPr>
          <w:b/>
          <w:bCs/>
          <w:color w:val="0D0033"/>
          <w:sz w:val="30"/>
          <w:szCs w:val="30"/>
        </w:rPr>
        <w:t xml:space="preserve">0. Purpose &amp; Scope</w:t>
      </w:r>
    </w:p>
    <w:p>
      <w:pPr>
        <w:spacing w:after="160" w:line="276"/>
      </w:pPr>
      <w:r>
        <w:rPr>
          <w:b w:val="false"/>
          <w:bCs w:val="false"/>
          <w:i w:val="false"/>
          <w:iCs w:val="false"/>
          <w:color w:val="1e293b"/>
          <w:sz w:val="21"/>
          <w:szCs w:val="21"/>
        </w:rPr>
        <w:t xml:space="preserve">This document is a single reference for the Qorix Product Dashboard: what it is for (Concept), what it currently does and should do (Requirements), and how it is built (Design). It covers the two pages that make up the tool today — the portfolio-level dashboard.html and the per-product product.html — plus their shared data layer (assets/data.js), stylesheet (assets/styles.css), and the local Jira-proxy backend (server.js), all in the Qorix-G-C repository.</w:t>
      </w:r>
    </w:p>
    <w:p>
      <w:pPr>
        <w:spacing w:after="160" w:line="276"/>
      </w:pPr>
      <w:r>
        <w:rPr>
          <w:b w:val="false"/>
          <w:bCs w:val="false"/>
          <w:i w:val="false"/>
          <w:iCs w:val="false"/>
          <w:color w:val="1e293b"/>
          <w:sz w:val="21"/>
          <w:szCs w:val="21"/>
        </w:rPr>
        <w:t xml:space="preserve">Two earlier documents already live in this repo's Outputs/Qorix-G-C/ folder and are treated as source material here rather than repeated in full: PROJECT_DIVISION_APPROACH.md (a proposed modular re-architecture, June 2026, not yet built) and ASPICE_VModel_Compliance_Assessment.md (a compliance assessment of the dashboard and the Jira instance it reports on, July 2026). Section 4 of this document reconciles their findings with the codebase as it stands today.</w:t>
      </w:r>
    </w:p>
    <w:p>
      <w:pPr>
        <w:spacing w:after="160" w:line="276"/>
      </w:pPr>
      <w:r>
        <w:rPr>
          <w:b w:val="false"/>
          <w:bCs w:val="false"/>
          <w:i/>
          <w:iCs/>
          <w:color w:val="1e293b"/>
          <w:sz w:val="21"/>
          <w:szCs w:val="21"/>
        </w:rPr>
        <w:t xml:space="preserve">Scope note: per your instruction, this covers both what exists today (an as-built baseline, so the requirements and design sections describe verified behaviour, not intent) and where it should go next (Section 4, a gap analysis and roadmap). Where the running code and its own section titles disagree with each other — for example, a section labelled "Auto-Generated Alerts" that in fact renders a static hand-written list — that discrepancy is called out rather than smoothed over.</w:t>
      </w:r>
    </w:p>
    <w:p>
      <w:pPr>
        <w:pStyle w:val="Heading1"/>
        <w:pBdr>
          <w:bottom w:val="single" w:color="3A00F5" w:sz="6" w:space="4"/>
        </w:pBdr>
        <w:spacing w:after="200" w:before="400"/>
      </w:pPr>
      <w:r>
        <w:rPr>
          <w:b/>
          <w:bCs/>
          <w:color w:val="0D0033"/>
          <w:sz w:val="30"/>
          <w:szCs w:val="30"/>
        </w:rPr>
        <w:t xml:space="preserve">1. Concept</w:t>
      </w:r>
    </w:p>
    <w:p>
      <w:pPr>
        <w:pStyle w:val="Heading2"/>
        <w:spacing w:after="120" w:before="300"/>
      </w:pPr>
      <w:r>
        <w:rPr>
          <w:b/>
          <w:bCs/>
          <w:color w:val="3A00F5"/>
          <w:sz w:val="24"/>
          <w:szCs w:val="24"/>
        </w:rPr>
        <w:t xml:space="preserve">1.1 Problem &amp; Vision</w:t>
      </w:r>
    </w:p>
    <w:p>
      <w:pPr>
        <w:spacing w:after="160" w:line="276"/>
      </w:pPr>
      <w:r>
        <w:rPr>
          <w:b w:val="false"/>
          <w:bCs w:val="false"/>
          <w:i w:val="false"/>
          <w:iCs w:val="false"/>
          <w:color w:val="1e293b"/>
          <w:sz w:val="21"/>
          <w:szCs w:val="21"/>
        </w:rPr>
        <w:t xml:space="preserve">Qorix runs six active product lines (plus two placeholders — see 1.3) engineered in parallel, each with its own Jira project, team, and roadmap. Before this tool, status for all six lived only inside individual Jira projects and PMs' heads. The dashboard's concept is a single-pane-of-glass portfolio view for G&amp;C leadership and product management: one page to see every product's health, risk, non-compliance, and team allocation at a glance, and one click-through per product to a deeper GRC-style operational view backed by live Jira data.</w:t>
      </w:r>
    </w:p>
    <w:p>
      <w:pPr>
        <w:pStyle w:val="Heading2"/>
        <w:spacing w:after="120" w:before="300"/>
      </w:pPr>
      <w:r>
        <w:rPr>
          <w:b/>
          <w:bCs/>
          <w:color w:val="3A00F5"/>
          <w:sz w:val="24"/>
          <w:szCs w:val="24"/>
        </w:rPr>
        <w:t xml:space="preserve">1.2 Users</w:t>
      </w:r>
    </w:p>
    <w:p>
      <w:pPr>
        <w:pStyle w:val="ListParagraph"/>
        <w:numPr>
          <w:ilvl w:val="0"/>
          <w:numId w:val="2"/>
        </w:numPr>
        <w:spacing w:after="80" w:line="270"/>
      </w:pPr>
      <w:r>
        <w:rPr>
          <w:sz w:val="21"/>
          <w:szCs w:val="21"/>
        </w:rPr>
        <w:t xml:space="preserve">G&amp;C / leadership — portfolio-level status, risk, and non-compliance across all products (dashboard.html → Overview, Insights).</w:t>
      </w:r>
    </w:p>
    <w:p>
      <w:pPr>
        <w:pStyle w:val="ListParagraph"/>
        <w:numPr>
          <w:ilvl w:val="0"/>
          <w:numId w:val="2"/>
        </w:numPr>
        <w:spacing w:after="80" w:line="270"/>
      </w:pPr>
      <w:r>
        <w:rPr>
          <w:sz w:val="21"/>
          <w:szCs w:val="21"/>
        </w:rPr>
        <w:t xml:space="preserve">Product Managers — their own product's roadmap, team allocation, dependencies and blockers (dashboard.html → Roadmap, Team, Dependencies; product.html hero + detail).</w:t>
      </w:r>
    </w:p>
    <w:p>
      <w:pPr>
        <w:pStyle w:val="ListParagraph"/>
        <w:numPr>
          <w:ilvl w:val="0"/>
          <w:numId w:val="2"/>
        </w:numPr>
        <w:spacing w:after="80" w:line="270"/>
      </w:pPr>
      <w:r>
        <w:rPr>
          <w:sz w:val="21"/>
          <w:szCs w:val="21"/>
        </w:rPr>
        <w:t xml:space="preserve">FUSA / Cybersecurity / Quality managers — the GRC Executive Dashboard panel on each product's page: total risk, non-compliance, incidents, defect severity, release health (product.html).</w:t>
      </w:r>
    </w:p>
    <w:p>
      <w:pPr>
        <w:pStyle w:val="Heading2"/>
        <w:spacing w:after="120" w:before="300"/>
      </w:pPr>
      <w:r>
        <w:rPr>
          <w:b/>
          <w:bCs/>
          <w:color w:val="3A00F5"/>
          <w:sz w:val="24"/>
          <w:szCs w:val="24"/>
        </w:rPr>
        <w:t xml:space="preserve">1.3 Product Structure</w:t>
      </w:r>
    </w:p>
    <w:p>
      <w:pPr>
        <w:spacing w:after="160" w:line="276"/>
      </w:pPr>
      <w:r>
        <w:rPr>
          <w:b w:val="false"/>
          <w:bCs w:val="false"/>
          <w:i w:val="false"/>
          <w:iCs w:val="false"/>
          <w:color w:val="1e293b"/>
          <w:sz w:val="21"/>
          <w:szCs w:val="21"/>
        </w:rPr>
        <w:t xml:space="preserve">The concept is two-tier:</w:t>
      </w:r>
    </w:p>
    <w:p>
      <w:pPr>
        <w:pStyle w:val="ListParagraph"/>
        <w:numPr>
          <w:ilvl w:val="0"/>
          <w:numId w:val="2"/>
        </w:numPr>
        <w:spacing w:after="80" w:line="270"/>
      </w:pPr>
      <w:r>
        <w:rPr>
          <w:sz w:val="21"/>
          <w:szCs w:val="21"/>
        </w:rPr>
        <w:t xml:space="preserve">Portfolio tier (dashboard.html) — one page, six sections reached by a top tab bar: Overview, Roadmap, Team, Dependencies, Insights, and a Products grid that links out to product detail.</w:t>
      </w:r>
    </w:p>
    <w:p>
      <w:pPr>
        <w:pStyle w:val="ListParagraph"/>
        <w:numPr>
          <w:ilvl w:val="0"/>
          <w:numId w:val="2"/>
        </w:numPr>
        <w:spacing w:after="80" w:line="270"/>
      </w:pPr>
      <w:r>
        <w:rPr>
          <w:sz w:val="21"/>
          <w:szCs w:val="21"/>
        </w:rPr>
        <w:t xml:space="preserve">Product detail tier (product.html) — one URL per product (?id=classic, ?id=adaptive, …) rendering a hero banner plus a “GRC Executive Dashboard” panel: Risks, Non-Compliance, Incidents, Defects Summary, Release Health, Technical Debt Trend, Test Execution Status, Code Quality, and a JIRA Integration settings block.</w:t>
      </w:r>
    </w:p>
    <w:p>
      <w:pPr>
        <w:spacing w:after="160" w:line="276"/>
      </w:pPr>
      <w:r>
        <w:rPr>
          <w:b w:val="false"/>
          <w:bCs w:val="false"/>
          <w:i w:val="false"/>
          <w:iCs w:val="false"/>
          <w:color w:val="1e293b"/>
          <w:sz w:val="21"/>
          <w:szCs w:val="21"/>
        </w:rPr>
        <w:t xml:space="preserve">Six products currently carry real data: Qorix Classic, Qorix Adaptive, Qorix Bootloader, Qorix Developer, Qorix Light weight, and Qorix Test. Two more are named in the Jira configuration with no project wired up (osporting, processdef: null) — placeholders, not yet part of the live concept. A seventh nav tab, “Performance,” still appears in the portfolio header and in the sample alert/dependency data, but the current PRODUCTS list in assets/data.js no longer contains a performance entry — see Section 4.</w:t>
      </w:r>
    </w:p>
    <w:p>
      <w:pPr>
        <w:pStyle w:val="Heading2"/>
        <w:spacing w:after="120" w:before="300"/>
      </w:pPr>
      <w:r>
        <w:rPr>
          <w:b/>
          <w:bCs/>
          <w:color w:val="3A00F5"/>
          <w:sz w:val="24"/>
          <w:szCs w:val="24"/>
        </w:rPr>
        <w:t xml:space="preserve">1.4 Design directions explored</w:t>
      </w:r>
    </w:p>
    <w:p>
      <w:pPr>
        <w:spacing w:after="160" w:line="276"/>
      </w:pPr>
      <w:r>
        <w:rPr>
          <w:b w:val="false"/>
          <w:bCs w:val="false"/>
          <w:i w:val="false"/>
          <w:iCs w:val="false"/>
          <w:color w:val="1e293b"/>
          <w:sz w:val="21"/>
          <w:szCs w:val="21"/>
        </w:rPr>
        <w:t xml:space="preserve">Two alternative presentations were prototyped alongside the shipped design, both still sitting in the repo root as standalone files, unlinked from the live navigation:</w:t>
      </w:r>
    </w:p>
    <w:p>
      <w:pPr>
        <w:pStyle w:val="ListParagraph"/>
        <w:numPr>
          <w:ilvl w:val="0"/>
          <w:numId w:val="2"/>
        </w:numPr>
        <w:spacing w:after="80" w:line="270"/>
      </w:pPr>
      <w:r>
        <w:rPr>
          <w:sz w:val="21"/>
          <w:szCs w:val="21"/>
        </w:rPr>
        <w:t xml:space="preserve">dashboard_header_redesigns.html — a set of dark-themed top-nav visual variants for the header (brand mark, nav links, status pill), explored as a restyle of the current light-themed site-topbar-nav. Not adopted; useful as a starting point if the header is revisited.</w:t>
      </w:r>
    </w:p>
    <w:p>
      <w:pPr>
        <w:pStyle w:val="ListParagraph"/>
        <w:numPr>
          <w:ilvl w:val="0"/>
          <w:numId w:val="2"/>
        </w:numPr>
        <w:spacing w:after="80" w:line="270"/>
      </w:pPr>
      <w:r>
        <w:rPr>
          <w:sz w:val="21"/>
          <w:szCs w:val="21"/>
        </w:rPr>
        <w:t xml:space="preserve">qorix-metrics-grafana.html — a lightweight wrapper concept that embeds a Grafana dashboard snapshot (image) with a Refresh button and an “Open in Grafana” link, rather than rendering charts in-page with Chart.js. Represents an alternative architecture (delegate visualization to Grafana) that was explored but not integrated into either dashboard.html or product.html.</w:t>
      </w:r>
    </w:p>
    <w:p>
      <w:pPr>
        <w:pStyle w:val="Heading2"/>
        <w:spacing w:after="120" w:before="300"/>
      </w:pPr>
      <w:r>
        <w:rPr>
          <w:b/>
          <w:bCs/>
          <w:color w:val="3A00F5"/>
          <w:sz w:val="24"/>
          <w:szCs w:val="24"/>
        </w:rPr>
        <w:t xml:space="preserve">1.5 Target concept already on file</w:t>
      </w:r>
    </w:p>
    <w:p>
      <w:pPr>
        <w:spacing w:after="160" w:line="276"/>
      </w:pPr>
      <w:r>
        <w:rPr>
          <w:b w:val="false"/>
          <w:bCs w:val="false"/>
          <w:i w:val="false"/>
          <w:iCs w:val="false"/>
          <w:color w:val="1e293b"/>
          <w:sz w:val="21"/>
          <w:szCs w:val="21"/>
        </w:rPr>
        <w:t xml:space="preserve">PROJECT_DIVISION_APPROACH.md (June 2026) proposes replacing today's monolithic structure — one data.js holding all six products, two large HTML files holding all rendering logic — with a modular one: a shared core/ (components, utils, API client), a per-product data/products/*.js split, and a standalone products/{id}/ module per product, migrated in seven phases over roughly seven weeks. This is the intended target architecture, not the current one; the repository today is still the flat structure the document describes as the state to replace. Section 4 assesses whether to pursue it.</w:t>
      </w:r>
    </w:p>
    <w:p>
      <w:pPr>
        <w:pStyle w:val="Heading1"/>
        <w:pBdr>
          <w:bottom w:val="single" w:color="3A00F5" w:sz="6" w:space="4"/>
        </w:pBdr>
        <w:spacing w:after="200" w:before="400"/>
      </w:pPr>
      <w:r>
        <w:rPr>
          <w:b/>
          <w:bCs/>
          <w:color w:val="0D0033"/>
          <w:sz w:val="30"/>
          <w:szCs w:val="30"/>
        </w:rPr>
        <w:t xml:space="preserve">2. Requirements</w:t>
      </w:r>
    </w:p>
    <w:p>
      <w:pPr>
        <w:spacing w:after="160" w:line="276"/>
      </w:pPr>
      <w:r>
        <w:rPr>
          <w:b w:val="false"/>
          <w:bCs w:val="false"/>
          <w:i/>
          <w:iCs/>
          <w:color w:val="1e293b"/>
          <w:sz w:val="21"/>
          <w:szCs w:val="21"/>
        </w:rPr>
        <w:t xml:space="preserve">Status key: Implemented (built and reachable from the live UI) · Partial (built but incomplete, static where it should be live, or only partially wired) · Gap (described or implied by the UI but not actually implemented). This reflects the code as read, not intent — several sections describe themselves as more automated than they currently are.</w:t>
      </w:r>
    </w:p>
    <w:p>
      <w:pPr>
        <w:pStyle w:val="Heading2"/>
        <w:spacing w:after="120" w:before="300"/>
      </w:pPr>
      <w:r>
        <w:rPr>
          <w:b/>
          <w:bCs/>
          <w:color w:val="3A00F5"/>
          <w:sz w:val="24"/>
          <w:szCs w:val="24"/>
        </w:rPr>
        <w:t xml:space="preserve">2.1 Portfolio Overview (dashboard.html)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REQ-OV-01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Show total product count and how many are on-track</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KPI k1, dashboard.html — PRODUCTS.length / on-track filter</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REQ-OV-02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Show consolidated non-compliance count across all products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KPI k2 — live, computed from Jira-backed data</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REQ-OV-03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Show unique team member count, shared allocations, and leave status</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KPI k3 — leave note (“Nikita till Dec 2026”) is hard-coded text, not derived from team data</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REQ-OV-04</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Show consolidated open risk count with high-severity breakdown</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KPI k4 — totalR / highR</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REQ-OV-05</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Show consolidated incident count across all products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KPI k5 — liveTotalIncidentCount()</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REQ-OV-06</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Render a card per product with status, completion, and links to detail</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products-grid, buildCard() — see Section 3.5 for dead branches inside it</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REQ-OV-07</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Filter the portfolio view by product and by status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global-product-filter, global-status-filter</w:t>
            </w:r>
          </w:p>
        </w:tc>
      </w:tr>
    </w:tbl>
    <w:p>
      <w:pPr>
        <w:pStyle w:val="Heading2"/>
        <w:spacing w:after="120" w:before="300"/>
      </w:pPr>
      <w:r>
        <w:rPr>
          <w:b/>
          <w:bCs/>
          <w:color w:val="3A00F5"/>
          <w:sz w:val="24"/>
          <w:szCs w:val="24"/>
        </w:rPr>
        <w:t xml:space="preserve">2.2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REQ-RM-01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Show each product's roadmap as Now / Next / Later columns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ROADMAP object in data.js, one array per product, col: now|next|later</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REQ-RM-02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Distinguish milestones, initiatives, and dependency items visually</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type: milestone|init|dep per roadmap entry</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REQ-RM-03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Filter roadmap by product</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roadmap-filter</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REQ-RM-04</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Keep roadmap dates current without a manual code edit</w:t>
            </w:r>
          </w:p>
        </w:tc>
        <w:tc>
          <w:tcPr>
            <w:tcW w:type="dxa" w:w="1500"/>
            <w:tcBorders>
              <w:top w:val="single" w:color="CBD5E1" w:sz="4"/>
              <w:left w:val="single" w:color="CBD5E1" w:sz="4"/>
              <w:bottom w:val="single" w:color="CBD5E1" w:sz="4"/>
              <w:right w:val="single" w:color="CBD5E1" w:sz="4"/>
            </w:tcBorders>
            <w:shd w:fill="FCEAE8" w:val="clear"/>
            <w:tcMar>
              <w:top w:type="dxa" w:w="70"/>
              <w:left w:type="dxa" w:w="100"/>
              <w:bottom w:type="dxa" w:w="70"/>
              <w:right w:type="dxa" w:w="100"/>
            </w:tcMar>
            <w:vAlign w:val="center"/>
          </w:tcPr>
          <w:p>
            <w:pPr>
              <w:spacing w:after="40"/>
            </w:pPr>
            <w:r>
              <w:rPr>
                <w:b/>
                <w:bCs/>
                <w:color w:val="B42318"/>
                <w:sz w:val="18"/>
                <w:szCs w:val="18"/>
              </w:rPr>
              <w:t xml:space="preserve">Gap</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Dates are static strings in data.js (e.g. ‘May 2026’, ‘Q4 2026’); no Jira-backed refresh</w:t>
            </w:r>
          </w:p>
        </w:tc>
      </w:tr>
    </w:tbl>
    <w:p>
      <w:pPr>
        <w:pStyle w:val="Heading2"/>
        <w:spacing w:after="120" w:before="300"/>
      </w:pPr>
      <w:r>
        <w:rPr>
          <w:b/>
          <w:bCs/>
          <w:color w:val="3A00F5"/>
          <w:sz w:val="24"/>
          <w:szCs w:val="24"/>
        </w:rPr>
        <w:t xml:space="preserve">2.3 Team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REQ-TM-01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Summarise team headcount and FTE by product and by role</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renderTeam(), roles: safety-manager, security-manager, quality-manager, quality-consultant</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REQ-TM-02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Toggle between a table view and a chart view</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team-view-toggle → table / fteChart (Chart.js)</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REQ-TM-03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Surface over-allocation / shared-resource risk</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Reported through a hard-coded Insights flag (FLAGS), not computed from live allocation totals</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REQ-TM-04</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Add / edit team members from the UI</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Add-member modal exists and is live; the parallel “Add/Edit Product” modal is dead code that discards its inputs — see Section 3.5</w:t>
            </w:r>
          </w:p>
        </w:tc>
      </w:tr>
    </w:tbl>
    <w:p>
      <w:pPr>
        <w:pStyle w:val="Heading2"/>
        <w:spacing w:after="120" w:before="300"/>
      </w:pPr>
      <w:r>
        <w:rPr>
          <w:b/>
          <w:bCs/>
          <w:color w:val="3A00F5"/>
          <w:sz w:val="24"/>
          <w:szCs w:val="24"/>
        </w:rPr>
        <w:t xml:space="preserve">2.4 Dependencies &amp;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REQ-DP-01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List internal cross-team dependencies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dep-internal / dep-internal-tbody</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REQ-DP-02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List external dependencies (vendors, standards bodies)</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DEPS_EXTERNAL is a static, hand-maintained list — references ‘Qorix Performance’, a product with no current data entry</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REQ-DP-03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List active blockers with owner and ETA</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BLOCKERS is static sample data with May/June 2026 ETAs — stale relative to the document date</w:t>
            </w:r>
          </w:p>
        </w:tc>
      </w:tr>
    </w:tbl>
    <w:p>
      <w:pPr>
        <w:pStyle w:val="Heading2"/>
        <w:spacing w:after="120" w:before="300"/>
      </w:pPr>
      <w:r>
        <w:rPr>
          <w:b/>
          <w:bCs/>
          <w:color w:val="3A00F5"/>
          <w:sz w:val="24"/>
          <w:szCs w:val="24"/>
        </w:rPr>
        <w:t xml:space="preserve">2.5 Insights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REQ-IN-01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Auto-generate alerts from live product/risk/compliance data</w:t>
            </w:r>
          </w:p>
        </w:tc>
        <w:tc>
          <w:tcPr>
            <w:tcW w:type="dxa" w:w="1500"/>
            <w:tcBorders>
              <w:top w:val="single" w:color="CBD5E1" w:sz="4"/>
              <w:left w:val="single" w:color="CBD5E1" w:sz="4"/>
              <w:bottom w:val="single" w:color="CBD5E1" w:sz="4"/>
              <w:right w:val="single" w:color="CBD5E1" w:sz="4"/>
            </w:tcBorders>
            <w:shd w:fill="FCEAE8" w:val="clear"/>
            <w:tcMar>
              <w:top w:type="dxa" w:w="70"/>
              <w:left w:type="dxa" w:w="100"/>
              <w:bottom w:type="dxa" w:w="70"/>
              <w:right w:type="dxa" w:w="100"/>
            </w:tcMar>
            <w:vAlign w:val="center"/>
          </w:tcPr>
          <w:p>
            <w:pPr>
              <w:spacing w:after="40"/>
            </w:pPr>
            <w:r>
              <w:rPr>
                <w:b/>
                <w:bCs/>
                <w:color w:val="B42318"/>
                <w:sz w:val="18"/>
                <w:szCs w:val="18"/>
              </w:rPr>
              <w:t xml:space="preserve">Gap</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Section is titled “Insights &amp; Auto-Generated Alerts,” but ALERTS is a static hard-coded array in dashboard.html, not computed</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REQ-IN-02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Flag missing or incomplete data (“Missing Data Flags”)</w:t>
            </w:r>
          </w:p>
        </w:tc>
        <w:tc>
          <w:tcPr>
            <w:tcW w:type="dxa" w:w="1500"/>
            <w:tcBorders>
              <w:top w:val="single" w:color="CBD5E1" w:sz="4"/>
              <w:left w:val="single" w:color="CBD5E1" w:sz="4"/>
              <w:bottom w:val="single" w:color="CBD5E1" w:sz="4"/>
              <w:right w:val="single" w:color="CBD5E1" w:sz="4"/>
            </w:tcBorders>
            <w:shd w:fill="FCEAE8" w:val="clear"/>
            <w:tcMar>
              <w:top w:type="dxa" w:w="70"/>
              <w:left w:type="dxa" w:w="100"/>
              <w:bottom w:type="dxa" w:w="70"/>
              <w:right w:type="dxa" w:w="100"/>
            </w:tcMar>
            <w:vAlign w:val="center"/>
          </w:tcPr>
          <w:p>
            <w:pPr>
              <w:spacing w:after="40"/>
            </w:pPr>
            <w:r>
              <w:rPr>
                <w:b/>
                <w:bCs/>
                <w:color w:val="B42318"/>
                <w:sz w:val="18"/>
                <w:szCs w:val="18"/>
              </w:rPr>
              <w:t xml:space="preserve">Gap</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FLAGS is likewise a static array, not a live completeness check</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REQ-IN-03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Publish a shared definition of status values and defect severity</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“Definition of status” block added Aug 2026; “Defect Status Definition” legend in dashboard.html</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REQ-IN-04</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Surface a running count of danger-level alerts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alert-badge — counts ALERTS + FLAGS of type danger</w:t>
            </w:r>
          </w:p>
        </w:tc>
      </w:tr>
    </w:tbl>
    <w:p>
      <w:pPr>
        <w:pStyle w:val="Heading2"/>
        <w:spacing w:after="120" w:before="300"/>
      </w:pPr>
      <w:r>
        <w:rPr>
          <w:b/>
          <w:bCs/>
          <w:color w:val="3A00F5"/>
          <w:sz w:val="24"/>
          <w:szCs w:val="24"/>
        </w:rPr>
        <w:t xml:space="preserve">2.6 Product Detail — GRC Executive Dashboard (product.html)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REQ-GR-01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Per-product Total Risk view with live Jira-backed list and chart</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product.html — grc-risk-* elements, backed by runDefectsJql() / JQL search</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REQ-GR-02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Per-product Non-Compliance view, filterable, with ring chart</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grc-nc-* elements</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REQ-GR-03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Per-product Incidents view with ring chart</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grc-incident-* elements (total only — severity buckets are dead, see 3.5)</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REQ-GR-04</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Defects summary: severity distribution, trend, automation-detection rate, critical/open counts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ge-defect-trend-chart, ge-severity-chart, ge-automation-defect-gauge, ge-critical-defects, ge-open-bugs</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REQ-GR-05</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Release health: upcoming releases, delayed count</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grc-releases-*, backed by static *_RELEASES fallback or a live /api/jira/versions sync</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REQ-GR-06</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Technical debt trend and code quality (SonarQube) view</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ge-tech-debt-chart renders; no live SonarQube integration confirmed in server.js — treat as a display shell pending a real data source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REQ-GR-07</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Configure and test a live Jira connection per product from the UI</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jira-domain / -email / -token / -project fields, jira-status-pill, POST /api/jira/test</w:t>
            </w:r>
          </w:p>
        </w:tc>
      </w:tr>
    </w:tbl>
    <w:p>
      <w:pPr>
        <w:pStyle w:val="Heading2"/>
        <w:spacing w:after="120" w:before="300"/>
      </w:pPr>
      <w:r>
        <w:rPr>
          <w:b/>
          <w:bCs/>
          <w:color w:val="3A00F5"/>
          <w:sz w:val="24"/>
          <w:szCs w:val="24"/>
        </w:rPr>
        <w:t xml:space="preserve">2.7 Data &amp;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REQ-DA-01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Central product schema (id, name, PM, status, completion, budget, FTE, tags)</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PRODUCTS array, assets/data.js</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REQ-DA-02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One Jira project key per product for querying</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JIRA_CFG.projects — two of nine keys are null (osporting, processdef); ‘test’ deliberately reuses ‘classic’'s project (CP) as a sandbox</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REQ-DA-03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JQL definitions for the metrics each product screen needs</w:t>
            </w:r>
          </w:p>
        </w:tc>
        <w:tc>
          <w:tcPr>
            <w:tcW w:type="dxa" w:w="1500"/>
            <w:tcBorders>
              <w:top w:val="single" w:color="CBD5E1" w:sz="4"/>
              <w:left w:val="single" w:color="CBD5E1" w:sz="4"/>
              <w:bottom w:val="single" w:color="CBD5E1" w:sz="4"/>
              <w:right w:val="single" w:color="CBD5E1" w:sz="4"/>
            </w:tcBorders>
            <w:shd w:fill="FCEAE8" w:val="clear"/>
            <w:tcMar>
              <w:top w:type="dxa" w:w="70"/>
              <w:left w:type="dxa" w:w="100"/>
              <w:bottom w:type="dxa" w:w="70"/>
              <w:right w:type="dxa" w:w="100"/>
            </w:tcMar>
            <w:vAlign w:val="center"/>
          </w:tcPr>
          <w:p>
            <w:pPr>
              <w:spacing w:after="40"/>
            </w:pPr>
            <w:r>
              <w:rPr>
                <w:b/>
                <w:bCs/>
                <w:color w:val="B42318"/>
                <w:sz w:val="18"/>
                <w:szCs w:val="18"/>
              </w:rPr>
              <w:t xml:space="preserve">Gap</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TEST_JQL references issue types (Requirement, AuditFinding, Review) that the ASPICE assessment found do not exist in the connected Jira — these panels return empty against real data</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REQ-DA-04</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Cache/sync live Jira results so the UI isn't fully dependent on a live call each load</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localStorage persistence, prefix qx_portal_v2 (QX_KEY)</w:t>
            </w:r>
          </w:p>
        </w:tc>
      </w:tr>
    </w:tbl>
    <w:p>
      <w:pPr>
        <w:pStyle w:val="Heading2"/>
        <w:spacing w:after="120" w:before="300"/>
      </w:pPr>
      <w:r>
        <w:rPr>
          <w:b/>
          <w:bCs/>
          <w:color w:val="3A00F5"/>
          <w:sz w:val="24"/>
          <w:szCs w:val="24"/>
        </w:rPr>
        <w:t xml:space="preserve">2.8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1500"/>
        <w:gridCol w:w="3060"/>
      </w:tblGrid>
      <w:tr>
        <w:trPr>
          <w:tblHeader/>
        </w:trPr>
        <w:tc>
          <w:tcPr>
            <w:tcW w:type="dxa" w:w="1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ID</w:t>
            </w:r>
          </w:p>
        </w:tc>
        <w:tc>
          <w:tcPr>
            <w:tcW w:type="dxa" w:w="37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Requirement</w:t>
            </w:r>
          </w:p>
        </w:tc>
        <w:tc>
          <w:tcPr>
            <w:tcW w:type="dxa" w:w="15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Status</w:t>
            </w:r>
          </w:p>
        </w:tc>
        <w:tc>
          <w:tcPr>
            <w:tcW w:type="dxa" w:w="30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Evidence</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REQ-NF-01</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Runs as a static site with no build step</w:t>
            </w:r>
          </w:p>
        </w:tc>
        <w:tc>
          <w:tcPr>
            <w:tcW w:type="dxa" w:w="1500"/>
            <w:tcBorders>
              <w:top w:val="single" w:color="CBD5E1" w:sz="4"/>
              <w:left w:val="single" w:color="CBD5E1" w:sz="4"/>
              <w:bottom w:val="single" w:color="CBD5E1" w:sz="4"/>
              <w:right w:val="single" w:color="CBD5E1" w:sz="4"/>
            </w:tcBorders>
            <w:shd w:fill="E7F5EC" w:val="clear"/>
            <w:tcMar>
              <w:top w:type="dxa" w:w="70"/>
              <w:left w:type="dxa" w:w="100"/>
              <w:bottom w:type="dxa" w:w="70"/>
              <w:right w:type="dxa" w:w="100"/>
            </w:tcMar>
            <w:vAlign w:val="center"/>
          </w:tcPr>
          <w:p>
            <w:pPr>
              <w:spacing w:after="40"/>
            </w:pPr>
            <w:r>
              <w:rPr>
                <w:b/>
                <w:bCs/>
                <w:color w:val="1E7B34"/>
                <w:sz w:val="18"/>
                <w:szCs w:val="18"/>
              </w:rPr>
              <w:t xml:space="preserve">Implemented</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Plain HTML/CSS/JS, Chart.js via CDN, deployed to GitHub Pages (.github/workflows/static.yml)</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REQ-NF-02</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Live Jira data reachable from the deployed (not just local) site</w:t>
            </w:r>
          </w:p>
        </w:tc>
        <w:tc>
          <w:tcPr>
            <w:tcW w:type="dxa" w:w="1500"/>
            <w:tcBorders>
              <w:top w:val="single" w:color="CBD5E1" w:sz="4"/>
              <w:left w:val="single" w:color="CBD5E1" w:sz="4"/>
              <w:bottom w:val="single" w:color="CBD5E1" w:sz="4"/>
              <w:right w:val="single" w:color="CBD5E1" w:sz="4"/>
            </w:tcBorders>
            <w:shd w:fill="FCEAE8" w:val="clear"/>
            <w:tcMar>
              <w:top w:type="dxa" w:w="70"/>
              <w:left w:type="dxa" w:w="100"/>
              <w:bottom w:type="dxa" w:w="70"/>
              <w:right w:type="dxa" w:w="100"/>
            </w:tcMar>
            <w:vAlign w:val="center"/>
          </w:tcPr>
          <w:p>
            <w:pPr>
              <w:spacing w:after="40"/>
            </w:pPr>
            <w:r>
              <w:rPr>
                <w:b/>
                <w:bCs/>
                <w:color w:val="B42318"/>
                <w:sz w:val="18"/>
                <w:szCs w:val="18"/>
              </w:rPr>
              <w:t xml:space="preserve">Gap</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The Jira proxy is server.js, which data.js's own comment says ‘must be running at localhost:3000’ — the GitHub Pages deployment has no backend, so live sync only works when run locally</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REQ-NF-03</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Jira credentials handled safely</w:t>
            </w:r>
          </w:p>
        </w:tc>
        <w:tc>
          <w:tcPr>
            <w:tcW w:type="dxa" w:w="1500"/>
            <w:tcBorders>
              <w:top w:val="single" w:color="CBD5E1" w:sz="4"/>
              <w:left w:val="single" w:color="CBD5E1" w:sz="4"/>
              <w:bottom w:val="single" w:color="CBD5E1" w:sz="4"/>
              <w:right w:val="single" w:color="CBD5E1" w:sz="4"/>
            </w:tcBorders>
            <w:shd w:fill="FCEAE8" w:val="clear"/>
            <w:tcMar>
              <w:top w:type="dxa" w:w="70"/>
              <w:left w:type="dxa" w:w="100"/>
              <w:bottom w:type="dxa" w:w="70"/>
              <w:right w:type="dxa" w:w="100"/>
            </w:tcMar>
            <w:vAlign w:val="center"/>
          </w:tcPr>
          <w:p>
            <w:pPr>
              <w:spacing w:after="40"/>
            </w:pPr>
            <w:r>
              <w:rPr>
                <w:b/>
                <w:bCs/>
                <w:color w:val="B42318"/>
                <w:sz w:val="18"/>
                <w:szCs w:val="18"/>
              </w:rPr>
              <w:t xml:space="preserve">Gap</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Email/API token are entered in the browser and sent to the proxy per request (no server-side secret store, no auth on the proxy's own endpoints)</w:t>
            </w:r>
          </w:p>
        </w:tc>
      </w:tr>
      <w:tr>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REQ-NF-04</w:t>
            </w:r>
          </w:p>
        </w:tc>
        <w:tc>
          <w:tcPr>
            <w:tcW w:type="dxa" w:w="37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Version-controlled, reviewable change history</w:t>
            </w:r>
          </w:p>
        </w:tc>
        <w:tc>
          <w:tcPr>
            <w:tcW w:type="dxa" w:w="1500"/>
            <w:tcBorders>
              <w:top w:val="single" w:color="CBD5E1" w:sz="4"/>
              <w:left w:val="single" w:color="CBD5E1" w:sz="4"/>
              <w:bottom w:val="single" w:color="CBD5E1" w:sz="4"/>
              <w:right w:val="single" w:color="CBD5E1" w:sz="4"/>
            </w:tcBorders>
            <w:shd w:fill="FEF6E7" w:val="clear"/>
            <w:tcMar>
              <w:top w:type="dxa" w:w="70"/>
              <w:left w:type="dxa" w:w="100"/>
              <w:bottom w:type="dxa" w:w="70"/>
              <w:right w:type="dxa" w:w="100"/>
            </w:tcMar>
            <w:vAlign w:val="center"/>
          </w:tcPr>
          <w:p>
            <w:pPr>
              <w:spacing w:after="40"/>
            </w:pPr>
            <w:r>
              <w:rPr>
                <w:b/>
                <w:bCs/>
                <w:color w:val="B7791F"/>
                <w:sz w:val="18"/>
                <w:szCs w:val="18"/>
              </w:rPr>
              <w:t xml:space="preserve">Partial</w:t>
            </w:r>
          </w:p>
        </w:tc>
        <w:tc>
          <w:tcPr>
            <w:tcW w:type="dxa" w:w="30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Single branch, no PR/review discipline evident in git log; one full-site recovery from a backup folder occurred in the file history (May 2026)</w:t>
            </w:r>
          </w:p>
        </w:tc>
      </w:tr>
    </w:tbl>
    <w:p>
      <w:pPr>
        <w:pStyle w:val="Heading2"/>
        <w:spacing w:after="120" w:before="300"/>
      </w:pPr>
      <w:r>
        <w:rPr>
          <w:b/>
          <w:bCs/>
          <w:color w:val="3A00F5"/>
          <w:sz w:val="24"/>
          <w:szCs w:val="24"/>
        </w:rPr>
        <w:t xml:space="preserve">2.9 Requirement gaps flagged by the ASPICE V-model assessment (Jul 2026)</w:t>
      </w:r>
    </w:p>
    <w:p>
      <w:pPr>
        <w:spacing w:after="160" w:line="276"/>
      </w:pPr>
      <w:r>
        <w:rPr>
          <w:b w:val="false"/>
          <w:bCs w:val="false"/>
          <w:i w:val="false"/>
          <w:iCs w:val="false"/>
          <w:color w:val="1e293b"/>
          <w:sz w:val="21"/>
          <w:szCs w:val="21"/>
        </w:rPr>
        <w:t xml:space="preserve">ASPICE_VModel_Compliance_Assessment.md found no product line has an end-to-end traceable V-model in Jira, and the dashboard's own query layer assumes issue types that don't exist in the connected instance. The items most relevant to this dashboard's own requirements (rather than to the six products' engineering process generally):</w:t>
      </w:r>
    </w:p>
    <w:p>
      <w:pPr>
        <w:pStyle w:val="ListParagraph"/>
        <w:numPr>
          <w:ilvl w:val="0"/>
          <w:numId w:val="2"/>
        </w:numPr>
        <w:spacing w:after="80" w:line="270"/>
      </w:pPr>
      <w:r>
        <w:rPr>
          <w:sz w:val="21"/>
          <w:szCs w:val="21"/>
        </w:rPr>
        <w:t xml:space="preserve">The dashboard's TEST_JQL constants query for Requirement, Review, and AuditFinding issue types — none exist org-wide in Jira today, so any panel built on them returns empty regardless of whether credentials are correctly configured (REQ-DA-03 above).</w:t>
      </w:r>
    </w:p>
    <w:p>
      <w:pPr>
        <w:pStyle w:val="ListParagraph"/>
        <w:numPr>
          <w:ilvl w:val="0"/>
          <w:numId w:val="2"/>
        </w:numPr>
        <w:spacing w:after="80" w:line="270"/>
      </w:pPr>
      <w:r>
        <w:rPr>
          <w:sz w:val="21"/>
          <w:szCs w:val="21"/>
        </w:rPr>
        <w:t xml:space="preserve">A Non-Compliance issue type does exist, but in project QGC under a different name than the dashboard's code assumes — reconciling the two is a prerequisite for REQ-DA-03 and REQ-GR-02 to reflect real data.</w:t>
      </w:r>
    </w:p>
    <w:p>
      <w:pPr>
        <w:pStyle w:val="ListParagraph"/>
        <w:numPr>
          <w:ilvl w:val="0"/>
          <w:numId w:val="2"/>
        </w:numPr>
        <w:spacing w:after="80" w:line="270"/>
      </w:pPr>
      <w:r>
        <w:rPr>
          <w:sz w:val="21"/>
          <w:szCs w:val="21"/>
        </w:rPr>
        <w:t xml:space="preserve">osporting and processdef have no Jira project key at all (REQ-DA-02) — the assessment recommends either wiring them up or explicitly documenting them as out of scope, rather than leaving them silently unconfigured.</w:t>
      </w:r>
    </w:p>
    <w:p>
      <w:pPr>
        <w:pStyle w:val="Heading1"/>
        <w:pBdr>
          <w:bottom w:val="single" w:color="3A00F5" w:sz="6" w:space="4"/>
        </w:pBdr>
        <w:spacing w:after="200" w:before="400"/>
      </w:pPr>
      <w:r>
        <w:rPr>
          <w:b/>
          <w:bCs/>
          <w:color w:val="0D0033"/>
          <w:sz w:val="30"/>
          <w:szCs w:val="30"/>
        </w:rPr>
        <w:t xml:space="preserve">3. Design</w:t>
      </w:r>
    </w:p>
    <w:p>
      <w:pPr>
        <w:pStyle w:val="Heading2"/>
        <w:spacing w:after="120" w:before="300"/>
      </w:pPr>
      <w:r>
        <w:rPr>
          <w:b/>
          <w:bCs/>
          <w:color w:val="3A00F5"/>
          <w:sz w:val="24"/>
          <w:szCs w:val="24"/>
        </w:rPr>
        <w:t xml:space="preserve">3.1 Information Architecture</w:t>
      </w:r>
    </w:p>
    <w:p>
      <w:pPr>
        <w:spacing w:after="160" w:line="276"/>
      </w:pPr>
      <w:r>
        <w:rPr>
          <w:b w:val="false"/>
          <w:bCs w:val="false"/>
          <w:i w:val="false"/>
          <w:iCs w:val="false"/>
          <w:color w:val="1e293b"/>
          <w:sz w:val="21"/>
          <w:szCs w:val="21"/>
        </w:rPr>
        <w:t xml:space="preserve">dashboard.html is a single page with a sticky top nav (site-topbar-nav) and six section anchors toggled by JS, not routed by URL: Overview (sec-overview), Roadmap (sec-roadmap), Team (sec-team), Dependencies (sec-dependencies), Insights (sec-insights), plus the Products grid inside Overview that links out. product.html is reached per-product via a query string (product.html?id=classic, etc.) and renders a hero header followed by the GRC Executive Dashboard panel. index.html is a pass-through redirect to product.html?id=classic.</w:t>
      </w:r>
    </w:p>
    <w:p>
      <w:pPr>
        <w:pStyle w:val="Heading2"/>
        <w:spacing w:after="120" w:before="300"/>
      </w:pPr>
      <w:r>
        <w:rPr>
          <w:b/>
          <w:bCs/>
          <w:color w:val="3A00F5"/>
          <w:sz w:val="24"/>
          <w:szCs w:val="24"/>
        </w:rPr>
        <w:t xml:space="preserve">3.2 Visual Design System</w:t>
      </w:r>
    </w:p>
    <w:p>
      <w:pPr>
        <w:spacing w:after="160" w:line="276"/>
      </w:pPr>
      <w:r>
        <w:rPr>
          <w:b w:val="false"/>
          <w:bCs w:val="false"/>
          <w:i w:val="false"/>
          <w:iCs w:val="false"/>
          <w:color w:val="1e293b"/>
          <w:sz w:val="21"/>
          <w:szCs w:val="21"/>
        </w:rPr>
        <w:t xml:space="preserve">Both pages share the Qorix brand token set defined in assets/styles.css, with a second, slightly different token set defined inline inside dashboard.html itself (see Section 3.5) — the two are aliased to the same names but are not the same :root block, which is a maintenance risk if one is edited without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Token</w:t>
            </w:r>
          </w:p>
        </w:tc>
        <w:tc>
          <w:tcPr>
            <w:tcW w:type="dxa" w:w="22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Value</w:t>
            </w:r>
          </w:p>
        </w:tc>
        <w:tc>
          <w:tcPr>
            <w:tcW w:type="dxa" w:w="49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Use</w:t>
            </w:r>
          </w:p>
        </w:tc>
      </w:tr>
      <w:t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--qx-blue / primary violet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#3A00F5 (styles.css) / #3C00FF (dashboard.html)</w:t>
            </w:r>
          </w:p>
        </w:tc>
        <w:tc>
          <w:tcPr>
            <w:tcW w:type="dxa" w:w="49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Primary brand color, buttons, active nav state</w:t>
            </w:r>
          </w:p>
        </w:tc>
      </w:tr>
      <w:t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--qx-navy / --heading</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#0D0033</w:t>
            </w:r>
          </w:p>
        </w:tc>
        <w:tc>
          <w:tcPr>
            <w:tcW w:type="dxa" w:w="49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Headings, dark surfaces, top nav background</w:t>
            </w:r>
          </w:p>
        </w:tc>
      </w:tr>
      <w:t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--qx-neon-lime / --qx-lime</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#C4FF32</w:t>
            </w:r>
          </w:p>
        </w:tc>
        <w:tc>
          <w:tcPr>
            <w:tcW w:type="dxa" w:w="49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High-energy accent — badges, highlight pill</w:t>
            </w:r>
          </w:p>
        </w:tc>
      </w:tr>
      <w:t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--on-track / --at-risk / --delayed</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#22c55e / #f59e0b / #ef4444</w:t>
            </w:r>
          </w:p>
        </w:tc>
        <w:tc>
          <w:tcPr>
            <w:tcW w:type="dxa" w:w="49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Status semantics used consistently across KPIs, cards, and badges</w:t>
            </w:r>
          </w:p>
        </w:tc>
      </w:tr>
      <w:t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--bg / --card / --border</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#F4F6FA / #FFFFFF / #E2E8F0</w:t>
            </w:r>
          </w:p>
        </w:tc>
        <w:tc>
          <w:tcPr>
            <w:tcW w:type="dxa" w:w="49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Page background, card surfaces, hairline borders</w:t>
            </w:r>
          </w:p>
        </w:tc>
      </w:tr>
      <w:t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--radius / --radius-lg</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12px / 18px</w:t>
            </w:r>
          </w:p>
        </w:tc>
        <w:tc>
          <w:tcPr>
            <w:tcW w:type="dxa" w:w="49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Card and modal corner radii</w:t>
            </w:r>
          </w:p>
        </w:tc>
      </w:tr>
    </w:tbl>
    <w:p>
      <w:pPr>
        <w:pStyle w:val="Heading2"/>
        <w:spacing w:after="120" w:before="300"/>
      </w:pPr>
      <w:r>
        <w:rPr>
          <w:b/>
          <w:bCs/>
          <w:color w:val="3A00F5"/>
          <w:sz w:val="24"/>
          <w:szCs w:val="24"/>
        </w:rPr>
        <w:t xml:space="preserve">3.3 Component Design</w:t>
      </w:r>
    </w:p>
    <w:p>
      <w:pPr>
        <w:pStyle w:val="ListParagraph"/>
        <w:numPr>
          <w:ilvl w:val="0"/>
          <w:numId w:val="2"/>
        </w:numPr>
        <w:spacing w:after="80" w:line="270"/>
      </w:pPr>
      <w:r>
        <w:rPr>
          <w:sz w:val="21"/>
          <w:szCs w:val="21"/>
        </w:rPr>
        <w:t xml:space="preserve">KPI cards (kpi-grid) — five fixed cards (k1–k5): icon, label, big value, one-line sub-caption. Values come from a mix of static counts (product totals) and live-computed totals (non-compliance, incidents, risk).</w:t>
      </w:r>
    </w:p>
    <w:p>
      <w:pPr>
        <w:pStyle w:val="ListParagraph"/>
        <w:numPr>
          <w:ilvl w:val="0"/>
          <w:numId w:val="2"/>
        </w:numPr>
        <w:spacing w:after="80" w:line="270"/>
      </w:pPr>
      <w:r>
        <w:rPr>
          <w:sz w:val="21"/>
          <w:szCs w:val="21"/>
        </w:rPr>
        <w:t xml:space="preserve">Product cards (products-grid → buildCard()) — status-colored card per product: name, PM, phase, completion bar, key metrics, link to product.html. buildCard() contains two additional rendering branches beyond the one that actually fires for today's product list — see 3.5.</w:t>
      </w:r>
    </w:p>
    <w:p>
      <w:pPr>
        <w:pStyle w:val="ListParagraph"/>
        <w:numPr>
          <w:ilvl w:val="0"/>
          <w:numId w:val="2"/>
        </w:numPr>
        <w:spacing w:after="80" w:line="270"/>
      </w:pPr>
      <w:r>
        <w:rPr>
          <w:sz w:val="21"/>
          <w:szCs w:val="21"/>
        </w:rPr>
        <w:t xml:space="preserve">Roadmap (roadmap-container) — three-column Now / Next / Later board per product, entries typed as milestone, init (initiative), or dep (dependency-gated) and rendered with distinct visual treatment.</w:t>
      </w:r>
    </w:p>
    <w:p>
      <w:pPr>
        <w:pStyle w:val="ListParagraph"/>
        <w:numPr>
          <w:ilvl w:val="0"/>
          <w:numId w:val="2"/>
        </w:numPr>
        <w:spacing w:after="80" w:line="270"/>
      </w:pPr>
      <w:r>
        <w:rPr>
          <w:sz w:val="21"/>
          <w:szCs w:val="21"/>
        </w:rPr>
        <w:t xml:space="preserve">Team (team-container) — toggle between a role-by-product table and an FTE bar chart (fteChart, Chart.js) covering four role types: Safety Manager, Security Manager, Quality Manager, Quality Consultant.</w:t>
      </w:r>
    </w:p>
    <w:p>
      <w:pPr>
        <w:pStyle w:val="ListParagraph"/>
        <w:numPr>
          <w:ilvl w:val="0"/>
          <w:numId w:val="2"/>
        </w:numPr>
        <w:spacing w:after="80" w:line="270"/>
      </w:pPr>
      <w:r>
        <w:rPr>
          <w:sz w:val="21"/>
          <w:szCs w:val="21"/>
        </w:rPr>
        <w:t xml:space="preserve">GRC Executive Dashboard (product.html) — the richest component set: ring charts for Non-Compliance / Incidents / Risk, a severity-distribution bar chart, a defect-trend line chart, a circular automation-detection gauge, and a releases table with a delayed-count badge — all Chart.js, all scoped per product via the grc-* / ge-* id prefixes.</w:t>
      </w:r>
    </w:p>
    <w:p>
      <w:pPr>
        <w:pStyle w:val="ListParagraph"/>
        <w:numPr>
          <w:ilvl w:val="0"/>
          <w:numId w:val="2"/>
        </w:numPr>
        <w:spacing w:after="80" w:line="270"/>
      </w:pPr>
      <w:r>
        <w:rPr>
          <w:sz w:val="21"/>
          <w:szCs w:val="21"/>
        </w:rPr>
        <w:t xml:space="preserve">Insights (alerts-grid, flags-grid) — color-coded cards (danger / warning / info) with an icon, title, description, and product tag; a running danger-count badge in the top nav.</w:t>
      </w:r>
    </w:p>
    <w:p>
      <w:pPr>
        <w:pStyle w:val="Heading2"/>
        <w:spacing w:after="120" w:before="300"/>
      </w:pPr>
      <w:r>
        <w:rPr>
          <w:b/>
          <w:bCs/>
          <w:color w:val="3A00F5"/>
          <w:sz w:val="24"/>
          <w:szCs w:val="24"/>
        </w:rPr>
        <w:t xml:space="preserve">3.4 System / Data Architecture</w:t>
      </w:r>
    </w:p>
    <w:p>
      <w:pPr>
        <w:spacing w:after="160" w:line="276"/>
      </w:pPr>
      <w:r>
        <w:rPr>
          <w:b w:val="false"/>
          <w:bCs w:val="false"/>
          <w:i w:val="false"/>
          <w:iCs w:val="false"/>
          <w:color w:val="1e293b"/>
          <w:sz w:val="21"/>
          <w:szCs w:val="21"/>
        </w:rPr>
        <w:t xml:space="preserve">Client: two static HTML pages + assets/data.js (shared data &amp; config) + assets/styles.css, no bundler, ES5-style inline &lt;script&gt;. Chart.js 4.4.0 loaded from a CDN. State beyond the static data.js constants (Jira sync results, Jira credentials, team edits) persists in the browser's localStorage under the qx_portal_v2 prefix (QX_KEY).</w:t>
      </w:r>
    </w:p>
    <w:p>
      <w:pPr>
        <w:spacing w:after="160" w:line="276"/>
      </w:pPr>
      <w:r>
        <w:rPr>
          <w:b w:val="false"/>
          <w:bCs w:val="false"/>
          <w:i w:val="false"/>
          <w:iCs w:val="false"/>
          <w:color w:val="1e293b"/>
          <w:sz w:val="21"/>
          <w:szCs w:val="21"/>
        </w:rPr>
        <w:t xml:space="preserve">Server: server.js is a small Express app with one job — proxy Jira Cloud REST API v3 calls that the browser can't make directly (CORS). Live endpoints: POST /api/jira/test (verify credentials via /myself), POST /api/jira/search (paginated JQL search via /search/jql), POST /api/jira/versions (project releases), GET /api/health. It also serves the static files (catch-all GET *) and is what data.js's own header comment means by “the proxy server must be running at localhost:3000” — in production the site is deployed to GitHub Pages as static files only, so server.js (and therefore live Jira sync) is a local-run capability, not part of the hosted deployment.</w:t>
      </w:r>
    </w:p>
    <w:p>
      <w:pPr>
        <w:spacing w:after="160" w:line="276"/>
      </w:pPr>
      <w:r>
        <w:rPr>
          <w:b w:val="false"/>
          <w:bCs w:val="false"/>
          <w:i w:val="false"/>
          <w:iCs w:val="false"/>
          <w:color w:val="1e293b"/>
          <w:sz w:val="21"/>
          <w:szCs w:val="21"/>
        </w:rPr>
        <w:t xml:space="preserve">Data model: PRODUCTS (schema: id, name, abbr, color, tagline, pm, status, phase, completion, budget/actual/forecast, fteCost, fte, tags) is the single source of truth every other structure keys off by product id — TEAM, ROADMAP, RISKS (always-empty placeholder, see 3.5), BLOCKERS, DEPS_EXTERNAL, ALERTS, FLAGS.</w:t>
      </w:r>
    </w:p>
    <w:p>
      <w:pPr>
        <w:pStyle w:val="Heading2"/>
        <w:spacing w:after="120" w:before="300"/>
      </w:pPr>
      <w:r>
        <w:rPr>
          <w:b/>
          <w:bCs/>
          <w:color w:val="3A00F5"/>
          <w:sz w:val="24"/>
          <w:szCs w:val="24"/>
        </w:rPr>
        <w:t xml:space="preserve">3.5 Known design &amp; implementation issues</w:t>
      </w:r>
    </w:p>
    <w:p>
      <w:pPr>
        <w:spacing w:after="160" w:line="276"/>
      </w:pPr>
      <w:r>
        <w:rPr>
          <w:b w:val="false"/>
          <w:bCs w:val="false"/>
          <w:i w:val="false"/>
          <w:iCs w:val="false"/>
          <w:color w:val="1e293b"/>
          <w:sz w:val="21"/>
          <w:szCs w:val="21"/>
        </w:rPr>
        <w:t xml:space="preserve">Carried forward from two prior reviews already in this repo (dead-code-audit-2026-07-16.md and its companion impact assessment) plus verification done for this document. Nothing here has been changed — this is a design record of debt to decide on, not a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3300"/>
        <w:gridCol w:w="1560"/>
      </w:tblGrid>
      <w:tr>
        <w:trPr>
          <w:tblHeader/>
        </w:trPr>
        <w:tc>
          <w:tcPr>
            <w:tcW w:type="dxa" w:w="24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Issue</w:t>
            </w:r>
          </w:p>
        </w:tc>
        <w:tc>
          <w:tcPr>
            <w:tcW w:type="dxa" w:w="2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Where</w:t>
            </w:r>
          </w:p>
        </w:tc>
        <w:tc>
          <w:tcPr>
            <w:tcW w:type="dxa" w:w="33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Why it matters</w:t>
            </w:r>
          </w:p>
        </w:tc>
        <w:tc>
          <w:tcPr>
            <w:tcW w:type="dxa" w:w="15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Source</w:t>
            </w:r>
          </w:p>
        </w:tc>
      </w:tr>
      <w:t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dashboard.html does not link assets/styles.css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dashboard.html &lt;head&gt;</w:t>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The Add/Edit-product modal's CSS (.modal, .modal-overlay, .modal-hdr, .modal-close) lives only in styles.css. product.html links it; dashboard.html doesn't — so its live “Add Product” modal likely renders unstyled.</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Dead-code audit, bonus finding</w:t>
            </w:r>
          </w:p>
        </w:tc>
      </w:tr>
      <w:t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“Performance” nav tab has no backing product entry</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dashboard.html top nav vs. assets/data.js PRODUCTS</w:t>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The tab and several sample ALERTS / DEPS_EXTERNAL rows reference Qorix Performance; the PRODUCTS array has six ids, none of them performance.</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Verified against data.js during this review</w:t>
            </w:r>
          </w:p>
        </w:tc>
      </w:tr>
      <w:t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“Insights &amp; Auto-Generated Alerts” is static data</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dashboard.html ALERTS / FLAGS constants</w:t>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Both arrays are hand-written with May 2026 dates — not recomputed from live product/risk/compliance state despite the section's name.</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Verified during this review</w:t>
            </w:r>
          </w:p>
        </w:tc>
      </w:tr>
      <w:t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~40 dead code items across the four main files</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dashboard.html, product.html, data.js, server.js</w:t>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Unreachable branches, orphaned element-id lookups, an unused Excel-import modal, unused server routes (incl. a mock /api/dashboard endpoint that returns fabricated data)</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dead-code-audit-2026-07-16.md</w:t>
            </w:r>
          </w:p>
        </w:tc>
      </w:tr>
      <w:t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Duplicated rendering / dedup logic</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product.html</w:t>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Release-row rendering and issue-dedup logic are each reimplemented 2–3 times instead of shared</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dead-code-audit-2026-07-16.md</w:t>
            </w:r>
          </w:p>
        </w:tc>
      </w:tr>
      <w:t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Jira storage helpers shadowed</w:t>
            </w:r>
          </w:p>
        </w:tc>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product.html vs assets/data.js</w:t>
            </w:r>
          </w:p>
        </w:tc>
        <w:tc>
          <w:tcPr>
            <w:tcW w:type="dxa" w:w="33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product.html re-implements getJiraConfig/saveJiraConfig/getJiraData/saveJiraData identically to data.js's versions; dashboard.html depends on data.js's copies only — safe to trim from product.html, not from data.js</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dead-code-removal-impact-assessment.md</w:t>
            </w:r>
          </w:p>
        </w:tc>
      </w:tr>
    </w:tbl>
    <w:p>
      <w:pPr>
        <w:pStyle w:val="Heading1"/>
        <w:pBdr>
          <w:bottom w:val="single" w:color="3A00F5" w:sz="6" w:space="4"/>
        </w:pBdr>
        <w:spacing w:after="200" w:before="400"/>
      </w:pPr>
      <w:r>
        <w:rPr>
          <w:b/>
          <w:bCs/>
          <w:color w:val="0D0033"/>
          <w:sz w:val="30"/>
          <w:szCs w:val="30"/>
        </w:rPr>
        <w:t xml:space="preserve">4. Gap Analysis &amp; Roadmap</w:t>
      </w:r>
    </w:p>
    <w:p>
      <w:pPr>
        <w:spacing w:after="160" w:line="276"/>
      </w:pPr>
      <w:r>
        <w:rPr>
          <w:b w:val="false"/>
          <w:bCs w:val="false"/>
          <w:i w:val="false"/>
          <w:iCs w:val="false"/>
          <w:color w:val="1e293b"/>
          <w:sz w:val="21"/>
          <w:szCs w:val="21"/>
        </w:rPr>
        <w:t xml:space="preserve">This section is the forward-looking half of the brief: given the as-built baseline in Sections 2–3, what should change. Priority reflects user-facing risk and how misleading the current gap is (e.g. a section that claims to be automated but isn't ranks above a code-cleanliness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3100"/>
        <w:gridCol w:w="1560"/>
      </w:tblGrid>
      <w:tr>
        <w:trPr>
          <w:tblHeader/>
        </w:trPr>
        <w:tc>
          <w:tcPr>
            <w:tcW w:type="dxa" w:w="2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Gap</w:t>
            </w:r>
          </w:p>
        </w:tc>
        <w:tc>
          <w:tcPr>
            <w:tcW w:type="dxa" w:w="26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Impact</w:t>
            </w:r>
          </w:p>
        </w:tc>
        <w:tc>
          <w:tcPr>
            <w:tcW w:type="dxa" w:w="310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Recommended action</w:t>
            </w:r>
          </w:p>
        </w:tc>
        <w:tc>
          <w:tcPr>
            <w:tcW w:type="dxa" w:w="1560"/>
            <w:tcBorders>
              <w:top w:val="single" w:color="CBD5E1" w:sz="4"/>
              <w:left w:val="single" w:color="CBD5E1" w:sz="4"/>
              <w:bottom w:val="single" w:color="CBD5E1" w:sz="4"/>
              <w:right w:val="single" w:color="CBD5E1" w:sz="4"/>
            </w:tcBorders>
            <w:shd w:fill="0D0033" w:val="clear"/>
            <w:tcMar>
              <w:top w:type="dxa" w:w="80"/>
              <w:left w:type="dxa" w:w="100"/>
              <w:bottom w:type="dxa" w:w="80"/>
              <w:right w:type="dxa" w:w="100"/>
            </w:tcMar>
            <w:vAlign w:val="center"/>
          </w:tcPr>
          <w:p>
            <w:r>
              <w:rPr>
                <w:b/>
                <w:bCs/>
                <w:color w:val="FFFFFF"/>
                <w:sz w:val="18"/>
                <w:szCs w:val="18"/>
              </w:rPr>
              <w:t xml:space="preserve">Priority</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Alerts/Flags are static, not computed</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“Auto-Generated” claim is misleading; stale sample dates already visible to users</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Define real trigger rules (e.g. status flips to at-risk/delayed, non-compliance count rises, blocker ETA passes) and compute ALERTS/FLAGS from PRODUCTS/RISKS/BLOCKERS at render time</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High</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dashboard.html missing styles.css link</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Live Add-Product modal likely renders unstyled today</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Add the stylesheet link (or inline the modal's rules) and visually verify</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High</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JQL definitions target non-existent Jira issue types</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Requirements/Reviews/Compliance-style panels return empty against real data regardless of credentials</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Reconcile TEST_JQL (and any per-product equivalents) with what actually exists in Jira — Non-Compliance lives in project QGC, not as AuditFinding per product</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High</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“Performance” orphaned in nav/sample data</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Confusing: a tab and referenced dependencies exist for a product with no data entry</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Either restore a performance entry in PRODUCTS (JIRA_CFG already reserves key QP) or remove the tab and its sample references</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Medium</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No deployed backend for the public site</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Live Jira sync only works when server.js is run locally — the GitHub Pages deployment cannot proxy Jira calls</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Decide: host server.js somewhere reachable (with proper secret handling), or explicitly scope the hosted version as static/manual-refresh only</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Medium</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Jira token handled client-side, per-request</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Credential-handling risk; no server-side secret store or endpoint auth</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Move to server-held credentials (env/secret store) or an auth layer in front of the proxy before any wider rollout</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Medium</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~40 confirmed dead-code items outstanding</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Maintenance surface, risk of a future edit touching “live-looking” dead code</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Action the existing removal plan (dead-code-removal-impact-assessment.md already scopes what's safe vs. what needs care)</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Medium</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Modular re-architecture proposed but not started</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Current flat structure makes per-product ownership and independent deployment hard, as PROJECT_DIVISION_APPROACH.md itself argues</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Decide whether to execute the existing 7-phase migration plan, adapt it, or explicitly shelve it — it is six months old and no phase has been started</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Low–Medium (decision needed; not urgent)</w:t>
            </w:r>
          </w:p>
        </w:tc>
      </w:tr>
      <w:t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osporting / processdef have no Jira project wired up</w:t>
            </w:r>
          </w:p>
        </w:tc>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Two of the eight configured product slots produce no data by design, silently</w:t>
            </w:r>
          </w:p>
        </w:tc>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Either assign real project keys or document them as intentionally out of scope, per the ASPICE assessment's recommendation</w:t>
            </w:r>
          </w:p>
        </w:tc>
        <w:tc>
          <w:tcPr>
            <w:tcW w:type="dxa" w:w="1560"/>
            <w:tcBorders>
              <w:top w:val="single" w:color="CBD5E1" w:sz="4"/>
              <w:left w:val="single" w:color="CBD5E1" w:sz="4"/>
              <w:bottom w:val="single" w:color="CBD5E1" w:sz="4"/>
              <w:right w:val="single" w:color="CBD5E1" w:sz="4"/>
            </w:tcBorders>
            <w:tcMar>
              <w:top w:type="dxa" w:w="70"/>
              <w:left w:type="dxa" w:w="100"/>
              <w:bottom w:type="dxa" w:w="70"/>
              <w:right w:type="dxa" w:w="100"/>
            </w:tcMar>
            <w:vAlign w:val="center"/>
          </w:tcPr>
          <w:p>
            <w:pPr>
              <w:spacing w:after="40"/>
            </w:pPr>
            <w:r>
              <w:rPr>
                <w:b w:val="false"/>
                <w:bCs w:val="false"/>
                <w:color w:val="1e293b"/>
                <w:sz w:val="18"/>
                <w:szCs w:val="18"/>
              </w:rPr>
              <w:t xml:space="preserve">Low</w:t>
            </w:r>
          </w:p>
        </w:tc>
      </w:tr>
    </w:tbl>
    <w:p>
      <w:pPr>
        <w:pStyle w:val="Heading1"/>
        <w:pBdr>
          <w:bottom w:val="single" w:color="3A00F5" w:sz="6" w:space="4"/>
        </w:pBdr>
        <w:spacing w:after="200" w:before="400"/>
      </w:pPr>
      <w:r>
        <w:rPr>
          <w:b/>
          <w:bCs/>
          <w:color w:val="0D0033"/>
          <w:sz w:val="30"/>
          <w:szCs w:val="30"/>
        </w:rPr>
        <w:t xml:space="preserve">5. Open Questions &amp; Assumptions</w:t>
      </w:r>
    </w:p>
    <w:p>
      <w:pPr>
        <w:pStyle w:val="ListParagraph"/>
        <w:numPr>
          <w:ilvl w:val="0"/>
          <w:numId w:val="2"/>
        </w:numPr>
        <w:spacing w:after="80" w:line="270"/>
      </w:pPr>
      <w:r>
        <w:rPr>
          <w:sz w:val="21"/>
          <w:szCs w:val="21"/>
        </w:rPr>
        <w:t xml:space="preserve">Is Qorix Performance an active product to be restored, or intentionally retired? The tab, JIRA_CFG key, and sample alert data all still reference it, but no product record does.</w:t>
      </w:r>
    </w:p>
    <w:p>
      <w:pPr>
        <w:pStyle w:val="ListParagraph"/>
        <w:numPr>
          <w:ilvl w:val="0"/>
          <w:numId w:val="2"/>
        </w:numPr>
        <w:spacing w:after="80" w:line="270"/>
      </w:pPr>
      <w:r>
        <w:rPr>
          <w:sz w:val="21"/>
          <w:szCs w:val="21"/>
        </w:rPr>
        <w:t xml:space="preserve">Is the modular re-architecture in PROJECT_DIVISION_APPROACH.md still the intended direction, or has priority moved elsewhere since June 2026?</w:t>
      </w:r>
    </w:p>
    <w:p>
      <w:pPr>
        <w:pStyle w:val="ListParagraph"/>
        <w:numPr>
          <w:ilvl w:val="0"/>
          <w:numId w:val="2"/>
        </w:numPr>
        <w:spacing w:after="80" w:line="270"/>
      </w:pPr>
      <w:r>
        <w:rPr>
          <w:sz w:val="21"/>
          <w:szCs w:val="21"/>
        </w:rPr>
        <w:t xml:space="preserve">Who owns deciding the trigger rules for real (non-static) alerts and flags — G&amp;C, or each product's PM?</w:t>
      </w:r>
    </w:p>
    <w:p>
      <w:pPr>
        <w:pStyle w:val="ListParagraph"/>
        <w:numPr>
          <w:ilvl w:val="0"/>
          <w:numId w:val="2"/>
        </w:numPr>
        <w:spacing w:after="80" w:line="270"/>
      </w:pPr>
      <w:r>
        <w:rPr>
          <w:sz w:val="21"/>
          <w:szCs w:val="21"/>
        </w:rPr>
        <w:t xml:space="preserve">Is a hosted (non-local) Jira proxy in scope for this tool, or is local-only sync an accepted constraint?</w:t>
      </w:r>
    </w:p>
    <w:p>
      <w:pPr>
        <w:spacing w:after="160" w:line="276"/>
      </w:pPr>
      <w:r>
        <w:rPr>
          <w:b w:val="false"/>
          <w:bCs w:val="false"/>
          <w:i/>
          <w:iCs/>
          <w:color w:val="1e293b"/>
          <w:sz w:val="21"/>
          <w:szCs w:val="21"/>
        </w:rPr>
        <w:t xml:space="preserve">This document describes the repository as read on 16 September 2026. If dashboard.html, product.html, data.js, or server.js have changed since, re-verify the Implemented/Partial/Gap calls in Section 2 before relying on them.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2026-09-16T12:40:51.112Z</dcterms:created>
  <dcterms:modified xsi:type="dcterms:W3CDTF">2026-09-16T12:40:51.127Z</dcterms:modified>
</cp:coreProperties>
</file>

<file path=docProps/custom.xml><?xml version="1.0" encoding="utf-8"?>
<Properties xmlns="http://schemas.openxmlformats.org/officeDocument/2006/custom-properties" xmlns:vt="http://schemas.openxmlformats.org/officeDocument/2006/docPropsVTypes"/>
</file>