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5D3B"/>
          <w:sz w:val="52"/>
          <w:szCs w:val="52"/>
        </w:rPr>
        <w:t xml:space="preserve">SecureWealth Twin</w:t>
      </w:r>
    </w:p>
    <w:p>
      <w:pPr>
        <w:spacing w:after="40"/>
      </w:pPr>
      <w:r>
        <w:rPr>
          <w:color w:val="5A5A5A"/>
          <w:sz w:val="26"/>
          <w:szCs w:val="26"/>
        </w:rPr>
        <w:t xml:space="preserve">Project Reference &amp; Resume Source Document</w:t>
      </w:r>
    </w:p>
    <w:p>
      <w:pPr>
        <w:spacing w:after="300"/>
      </w:pPr>
      <w:r>
        <w:rPr>
          <w:color w:val="5A5A5A"/>
          <w:sz w:val="20"/>
          <w:szCs w:val="20"/>
        </w:rPr>
        <w:t xml:space="preserve">Prepared for Swayam Kohli   ·   Punjab &amp; Sind Bank Hackathon Series 2026</w:t>
      </w:r>
    </w:p>
    <w:tbl>
      <w:tblPr>
        <w:tblW w:type="dxa" w:w="9020"/>
        <w:tblBorders>
          <w:top w:val="none"/>
          <w:left w:val="single" w:color="8A6D12" w:sz="18"/>
          <w:bottom w:val="none"/>
          <w:right w:val="none"/>
          <w:insideH w:val="none"/>
          <w:insideV w:val="none"/>
        </w:tblBorders>
      </w:tblPr>
      <w:tblGrid>
        <w:gridCol w:w="9020"/>
      </w:tblGrid>
      <w:tr>
        <w:tc>
          <w:tcPr>
            <w:tcW w:type="dxa" w:w="9020"/>
            <w:shd w:fill="F3F6F4" w:color="auto" w:val="clear"/>
            <w:tcMar>
              <w:top w:type="dxa" w:w="110"/>
              <w:left w:type="dxa" w:w="150"/>
              <w:bottom w:type="dxa" w:w="110"/>
              <w:right w:type="dxa" w:w="130"/>
            </w:tcMar>
          </w:tcPr>
          <w:p>
            <w:pPr>
              <w:spacing w:after="0" w:line="268"/>
            </w:pPr>
            <w:r>
              <w:rPr>
                <w:b/>
                <w:bCs/>
                <w:color w:val="0B5D3B"/>
                <w:sz w:val="20"/>
                <w:szCs w:val="20"/>
              </w:rPr>
              <w:t xml:space="preserve">How to use this document.  </w:t>
            </w:r>
            <w:r>
              <w:rPr>
                <w:color w:val="1A1A1A"/>
                <w:sz w:val="20"/>
                <w:szCs w:val="20"/>
              </w:rPr>
              <w:t xml:space="preserve">It documents one project from several angles on purpose — product, backend, AI/ML, security engineering and mobile — because the same work supports very different resume framings. Sections 1 to 12 describe the system. Section 13 records your contributions. Sections 14 and 15 give ready-to-adapt resume bullets and interview answers. Take what fits the role you are applying for; do not claim what you cannot explain out loud.</w:t>
            </w:r>
          </w:p>
        </w:tc>
      </w:tr>
    </w:tbl>
    <w:p>
      <w:pPr>
        <w:spacing w:after="160"/>
      </w:pPr>
    </w:p>
    <w:p>
      <w:pPr>
        <w:pStyle w:val="Heading1"/>
        <w:spacing w:after="140" w:before="360"/>
      </w:pPr>
      <w:r>
        <w:t xml:space="preserve">1.  Snapshot</w:t>
      </w:r>
    </w:p>
    <w:p>
      <w:pPr>
        <w:pStyle w:val="Heading3"/>
        <w:spacing w:after="80" w:before="180"/>
      </w:pPr>
      <w:r>
        <w:t xml:space="preserve">One line</w:t>
      </w:r>
    </w:p>
    <w:p>
      <w:pPr>
        <w:spacing w:after="120" w:line="276"/>
      </w:pPr>
      <w:r>
        <w:rPr>
          <w:b w:val="false"/>
          <w:bCs w:val="false"/>
          <w:i w:val="false"/>
          <w:iCs w:val="false"/>
          <w:color w:val="1A1A1A"/>
          <w:sz w:val="21"/>
          <w:szCs w:val="21"/>
        </w:rPr>
        <w:t xml:space="preserve">A retail banking application in which wealth advice and fraud defence run through a single decision path, with every decision explained to the customer in plain language and recorded in a tamper-evident audit trail.</w:t>
      </w:r>
    </w:p>
    <w:p>
      <w:pPr>
        <w:pStyle w:val="Heading3"/>
        <w:spacing w:after="80" w:before="180"/>
      </w:pPr>
      <w:r>
        <w:t xml:space="preserve">Three lines</w:t>
      </w:r>
    </w:p>
    <w:p>
      <w:pPr>
        <w:spacing w:after="120" w:line="276"/>
      </w:pPr>
      <w:r>
        <w:rPr>
          <w:b w:val="false"/>
          <w:bCs w:val="false"/>
          <w:i w:val="false"/>
          <w:iCs w:val="false"/>
          <w:color w:val="1A1A1A"/>
          <w:sz w:val="21"/>
          <w:szCs w:val="21"/>
        </w:rPr>
        <w:t xml:space="preserve">SecureWealth Twin is a full-stack banking prototype built for the Punjab &amp; Sind Bank Hackathon 2026. Every investment passes through a five-stage security pipeline — behavioural rules, an XGBoost fraud classifier, a PyTorch novelty detector, a weighted risk engine and a decision engine — before any money moves. The same system produces personalised wealth recommendations, explains both the advice and the security verdict in English, Hindi or Punjabi using a locally hosted language model, and writes every decision to a hash-chained, digitally signed audit log replicated four times.</w:t>
      </w:r>
    </w:p>
    <w:p>
      <w:pPr>
        <w:pStyle w:val="Heading3"/>
        <w:spacing w:after="80" w:before="180"/>
      </w:pPr>
      <w:r>
        <w:t xml:space="preserve">Key numbers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0B5D3B" w:color="auto" w:val="clear"/>
            <w:tcMar>
              <w:top w:type="dxa" w:w="70"/>
              <w:left w:type="dxa" w:w="100"/>
              <w:bottom w:type="dxa" w:w="70"/>
              <w:right w:type="dxa" w:w="100"/>
            </w:tcMar>
          </w:tcPr>
          <w:p>
            <w:pPr>
              <w:spacing w:after="0" w:line="250"/>
            </w:pPr>
            <w:r>
              <w:rPr>
                <w:b/>
                <w:bCs/>
                <w:color w:val="FFFFFF"/>
                <w:sz w:val="19"/>
                <w:szCs w:val="19"/>
              </w:rPr>
              <w:t xml:space="preserve">Metric</w:t>
            </w:r>
          </w:p>
        </w:tc>
        <w:tc>
          <w:tcPr>
            <w:tcW w:type="dxa" w:w="6420"/>
            <w:shd w:fill="0B5D3B" w:color="auto" w:val="clear"/>
            <w:tcMar>
              <w:top w:type="dxa" w:w="70"/>
              <w:left w:type="dxa" w:w="100"/>
              <w:bottom w:type="dxa" w:w="70"/>
              <w:right w:type="dxa" w:w="100"/>
            </w:tcMar>
          </w:tcPr>
          <w:p>
            <w:pPr>
              <w:spacing w:after="0" w:line="250"/>
            </w:pPr>
            <w:r>
              <w:rPr>
                <w:b/>
                <w:bCs/>
                <w:color w:val="FFFFFF"/>
                <w:sz w:val="19"/>
                <w:szCs w:val="19"/>
              </w:rPr>
              <w:t xml:space="preserve">Value</w:t>
            </w:r>
          </w:p>
        </w:tc>
      </w:tr>
      <w:tr>
        <w:trPr>
          <w:tblHeader w:val="false"/>
        </w:trPr>
        <w:tc>
          <w:tcPr>
            <w:tcW w:type="dxa" w:w="2600"/>
            <w:tcMar>
              <w:top w:type="dxa" w:w="70"/>
              <w:left w:type="dxa" w:w="100"/>
              <w:bottom w:type="dxa" w:w="70"/>
              <w:right w:type="dxa" w:w="100"/>
            </w:tcMar>
          </w:tcPr>
          <w:p>
            <w:pPr>
              <w:spacing w:after="0" w:line="250"/>
            </w:pPr>
            <w:r>
              <w:rPr>
                <w:color w:val="1A1A1A"/>
                <w:sz w:val="19"/>
                <w:szCs w:val="19"/>
              </w:rPr>
              <w:t xml:space="preserve">Duration</w:t>
            </w:r>
          </w:p>
        </w:tc>
        <w:tc>
          <w:tcPr>
            <w:tcW w:type="dxa" w:w="6420"/>
            <w:tcMar>
              <w:top w:type="dxa" w:w="70"/>
              <w:left w:type="dxa" w:w="100"/>
              <w:bottom w:type="dxa" w:w="70"/>
              <w:right w:type="dxa" w:w="100"/>
            </w:tcMar>
          </w:tcPr>
          <w:p>
            <w:pPr>
              <w:spacing w:after="0" w:line="250"/>
            </w:pPr>
            <w:r>
              <w:rPr>
                <w:color w:val="1A1A1A"/>
                <w:sz w:val="19"/>
                <w:szCs w:val="19"/>
              </w:rPr>
              <w:t xml:space="preserve">8 weeks (June – August 2026)</w:t>
            </w:r>
          </w:p>
        </w:tc>
      </w:tr>
      <w:tr>
        <w:trPr>
          <w:tblHeader w:val="false"/>
        </w:trPr>
        <w:tc>
          <w:tcPr>
            <w:tcW w:type="dxa" w:w="2600"/>
            <w:shd w:fill="F3F6F4" w:color="auto" w:val="clear"/>
            <w:tcMar>
              <w:top w:type="dxa" w:w="70"/>
              <w:left w:type="dxa" w:w="100"/>
              <w:bottom w:type="dxa" w:w="70"/>
              <w:right w:type="dxa" w:w="100"/>
            </w:tcMar>
          </w:tcPr>
          <w:p>
            <w:pPr>
              <w:spacing w:after="0" w:line="250"/>
            </w:pPr>
            <w:r>
              <w:rPr>
                <w:color w:val="1A1A1A"/>
                <w:sz w:val="19"/>
                <w:szCs w:val="19"/>
              </w:rPr>
              <w:t xml:space="preserve">Team size</w:t>
            </w:r>
          </w:p>
        </w:tc>
        <w:tc>
          <w:tcPr>
            <w:tcW w:type="dxa" w:w="6420"/>
            <w:shd w:fill="F3F6F4" w:color="auto" w:val="clear"/>
            <w:tcMar>
              <w:top w:type="dxa" w:w="70"/>
              <w:left w:type="dxa" w:w="100"/>
              <w:bottom w:type="dxa" w:w="70"/>
              <w:right w:type="dxa" w:w="100"/>
            </w:tcMar>
          </w:tcPr>
          <w:p>
            <w:pPr>
              <w:spacing w:after="0" w:line="250"/>
            </w:pPr>
            <w:r>
              <w:rPr>
                <w:color w:val="1A1A1A"/>
                <w:sz w:val="19"/>
                <w:szCs w:val="19"/>
              </w:rPr>
              <w:t xml:space="preserve">6</w:t>
            </w:r>
          </w:p>
        </w:tc>
      </w:tr>
      <w:tr>
        <w:trPr>
          <w:tblHeader w:val="false"/>
        </w:trPr>
        <w:tc>
          <w:tcPr>
            <w:tcW w:type="dxa" w:w="2600"/>
            <w:tcMar>
              <w:top w:type="dxa" w:w="70"/>
              <w:left w:type="dxa" w:w="100"/>
              <w:bottom w:type="dxa" w:w="70"/>
              <w:right w:type="dxa" w:w="100"/>
            </w:tcMar>
          </w:tcPr>
          <w:p>
            <w:pPr>
              <w:spacing w:after="0" w:line="250"/>
            </w:pPr>
            <w:r>
              <w:rPr>
                <w:color w:val="1A1A1A"/>
                <w:sz w:val="19"/>
                <w:szCs w:val="19"/>
              </w:rPr>
              <w:t xml:space="preserve">Codebase</w:t>
            </w:r>
          </w:p>
        </w:tc>
        <w:tc>
          <w:tcPr>
            <w:tcW w:type="dxa" w:w="6420"/>
            <w:tcMar>
              <w:top w:type="dxa" w:w="70"/>
              <w:left w:type="dxa" w:w="100"/>
              <w:bottom w:type="dxa" w:w="70"/>
              <w:right w:type="dxa" w:w="100"/>
            </w:tcMar>
          </w:tcPr>
          <w:p>
            <w:pPr>
              <w:spacing w:after="0" w:line="250"/>
            </w:pPr>
            <w:r>
              <w:rPr>
                <w:color w:val="1A1A1A"/>
                <w:sz w:val="19"/>
                <w:szCs w:val="19"/>
              </w:rPr>
              <w:t xml:space="preserve">~44,300 lines across Python, TypeScript and shell</w:t>
            </w:r>
          </w:p>
        </w:tc>
      </w:tr>
      <w:tr>
        <w:trPr>
          <w:tblHeader w:val="false"/>
        </w:trPr>
        <w:tc>
          <w:tcPr>
            <w:tcW w:type="dxa" w:w="2600"/>
            <w:shd w:fill="F3F6F4" w:color="auto" w:val="clear"/>
            <w:tcMar>
              <w:top w:type="dxa" w:w="70"/>
              <w:left w:type="dxa" w:w="100"/>
              <w:bottom w:type="dxa" w:w="70"/>
              <w:right w:type="dxa" w:w="100"/>
            </w:tcMar>
          </w:tcPr>
          <w:p>
            <w:pPr>
              <w:spacing w:after="0" w:line="250"/>
            </w:pPr>
            <w:r>
              <w:rPr>
                <w:color w:val="1A1A1A"/>
                <w:sz w:val="19"/>
                <w:szCs w:val="19"/>
              </w:rPr>
              <w:t xml:space="preserve">Backend</w:t>
            </w:r>
          </w:p>
        </w:tc>
        <w:tc>
          <w:tcPr>
            <w:tcW w:type="dxa" w:w="6420"/>
            <w:shd w:fill="F3F6F4" w:color="auto" w:val="clear"/>
            <w:tcMar>
              <w:top w:type="dxa" w:w="70"/>
              <w:left w:type="dxa" w:w="100"/>
              <w:bottom w:type="dxa" w:w="70"/>
              <w:right w:type="dxa" w:w="100"/>
            </w:tcMar>
          </w:tcPr>
          <w:p>
            <w:pPr>
              <w:spacing w:after="0" w:line="250"/>
            </w:pPr>
            <w:r>
              <w:rPr>
                <w:color w:val="1A1A1A"/>
                <w:sz w:val="19"/>
                <w:szCs w:val="19"/>
              </w:rPr>
              <w:t xml:space="preserve">195 Python files, 90 API route handlers</w:t>
            </w:r>
          </w:p>
        </w:tc>
      </w:tr>
      <w:tr>
        <w:trPr>
          <w:tblHeader w:val="false"/>
        </w:trPr>
        <w:tc>
          <w:tcPr>
            <w:tcW w:type="dxa" w:w="2600"/>
            <w:tcMar>
              <w:top w:type="dxa" w:w="70"/>
              <w:left w:type="dxa" w:w="100"/>
              <w:bottom w:type="dxa" w:w="70"/>
              <w:right w:type="dxa" w:w="100"/>
            </w:tcMar>
          </w:tcPr>
          <w:p>
            <w:pPr>
              <w:spacing w:after="0" w:line="250"/>
            </w:pPr>
            <w:r>
              <w:rPr>
                <w:color w:val="1A1A1A"/>
                <w:sz w:val="19"/>
                <w:szCs w:val="19"/>
              </w:rPr>
              <w:t xml:space="preserve">Mobile app</w:t>
            </w:r>
          </w:p>
        </w:tc>
        <w:tc>
          <w:tcPr>
            <w:tcW w:type="dxa" w:w="6420"/>
            <w:tcMar>
              <w:top w:type="dxa" w:w="70"/>
              <w:left w:type="dxa" w:w="100"/>
              <w:bottom w:type="dxa" w:w="70"/>
              <w:right w:type="dxa" w:w="100"/>
            </w:tcMar>
          </w:tcPr>
          <w:p>
            <w:pPr>
              <w:spacing w:after="0" w:line="250"/>
            </w:pPr>
            <w:r>
              <w:rPr>
                <w:color w:val="1A1A1A"/>
                <w:sz w:val="19"/>
                <w:szCs w:val="19"/>
              </w:rPr>
              <w:t xml:space="preserve">14 screens, 39 TypeScript/TSX files, ~15,400 lines</w:t>
            </w:r>
          </w:p>
        </w:tc>
      </w:tr>
      <w:tr>
        <w:trPr>
          <w:tblHeader w:val="false"/>
        </w:trPr>
        <w:tc>
          <w:tcPr>
            <w:tcW w:type="dxa" w:w="2600"/>
            <w:shd w:fill="F3F6F4" w:color="auto" w:val="clear"/>
            <w:tcMar>
              <w:top w:type="dxa" w:w="70"/>
              <w:left w:type="dxa" w:w="100"/>
              <w:bottom w:type="dxa" w:w="70"/>
              <w:right w:type="dxa" w:w="100"/>
            </w:tcMar>
          </w:tcPr>
          <w:p>
            <w:pPr>
              <w:spacing w:after="0" w:line="250"/>
            </w:pPr>
            <w:r>
              <w:rPr>
                <w:color w:val="1A1A1A"/>
                <w:sz w:val="19"/>
                <w:szCs w:val="19"/>
              </w:rPr>
              <w:t xml:space="preserve">Machine learning</w:t>
            </w:r>
          </w:p>
        </w:tc>
        <w:tc>
          <w:tcPr>
            <w:tcW w:type="dxa" w:w="6420"/>
            <w:shd w:fill="F3F6F4" w:color="auto" w:val="clear"/>
            <w:tcMar>
              <w:top w:type="dxa" w:w="70"/>
              <w:left w:type="dxa" w:w="100"/>
              <w:bottom w:type="dxa" w:w="70"/>
              <w:right w:type="dxa" w:w="100"/>
            </w:tcMar>
          </w:tcPr>
          <w:p>
            <w:pPr>
              <w:spacing w:after="0" w:line="250"/>
            </w:pPr>
            <w:r>
              <w:rPr>
                <w:color w:val="1A1A1A"/>
                <w:sz w:val="19"/>
                <w:szCs w:val="19"/>
              </w:rPr>
              <w:t xml:space="preserve">2 trained models in production paths (XGBoost classifier, PyTorch autoencoder)</w:t>
            </w:r>
          </w:p>
        </w:tc>
      </w:tr>
      <w:tr>
        <w:trPr>
          <w:tblHeader w:val="false"/>
        </w:trPr>
        <w:tc>
          <w:tcPr>
            <w:tcW w:type="dxa" w:w="2600"/>
            <w:tcMar>
              <w:top w:type="dxa" w:w="70"/>
              <w:left w:type="dxa" w:w="100"/>
              <w:bottom w:type="dxa" w:w="70"/>
              <w:right w:type="dxa" w:w="100"/>
            </w:tcMar>
          </w:tcPr>
          <w:p>
            <w:pPr>
              <w:spacing w:after="0" w:line="250"/>
            </w:pPr>
            <w:r>
              <w:rPr>
                <w:color w:val="1A1A1A"/>
                <w:sz w:val="19"/>
                <w:szCs w:val="19"/>
              </w:rPr>
              <w:t xml:space="preserve">Explainability</w:t>
            </w:r>
          </w:p>
        </w:tc>
        <w:tc>
          <w:tcPr>
            <w:tcW w:type="dxa" w:w="6420"/>
            <w:tcMar>
              <w:top w:type="dxa" w:w="70"/>
              <w:left w:type="dxa" w:w="100"/>
              <w:bottom w:type="dxa" w:w="70"/>
              <w:right w:type="dxa" w:w="100"/>
            </w:tcMar>
          </w:tcPr>
          <w:p>
            <w:pPr>
              <w:spacing w:after="0" w:line="250"/>
            </w:pPr>
            <w:r>
              <w:rPr>
                <w:color w:val="1A1A1A"/>
                <w:sz w:val="19"/>
                <w:szCs w:val="19"/>
              </w:rPr>
              <w:t xml:space="preserve">7 explanation engines over a locally hosted LLM</w:t>
            </w:r>
          </w:p>
        </w:tc>
      </w:tr>
      <w:tr>
        <w:trPr>
          <w:tblHeader w:val="false"/>
        </w:trPr>
        <w:tc>
          <w:tcPr>
            <w:tcW w:type="dxa" w:w="2600"/>
            <w:shd w:fill="F3F6F4" w:color="auto" w:val="clear"/>
            <w:tcMar>
              <w:top w:type="dxa" w:w="70"/>
              <w:left w:type="dxa" w:w="100"/>
              <w:bottom w:type="dxa" w:w="70"/>
              <w:right w:type="dxa" w:w="100"/>
            </w:tcMar>
          </w:tcPr>
          <w:p>
            <w:pPr>
              <w:spacing w:after="0" w:line="250"/>
            </w:pPr>
            <w:r>
              <w:rPr>
                <w:color w:val="1A1A1A"/>
                <w:sz w:val="19"/>
                <w:szCs w:val="19"/>
              </w:rPr>
              <w:t xml:space="preserve">Languages supported</w:t>
            </w:r>
          </w:p>
        </w:tc>
        <w:tc>
          <w:tcPr>
            <w:tcW w:type="dxa" w:w="6420"/>
            <w:shd w:fill="F3F6F4" w:color="auto" w:val="clear"/>
            <w:tcMar>
              <w:top w:type="dxa" w:w="70"/>
              <w:left w:type="dxa" w:w="100"/>
              <w:bottom w:type="dxa" w:w="70"/>
              <w:right w:type="dxa" w:w="100"/>
            </w:tcMar>
          </w:tcPr>
          <w:p>
            <w:pPr>
              <w:spacing w:after="0" w:line="250"/>
            </w:pPr>
            <w:r>
              <w:rPr>
                <w:color w:val="1A1A1A"/>
                <w:sz w:val="19"/>
                <w:szCs w:val="19"/>
              </w:rPr>
              <w:t xml:space="preserve">3 (English, Hindi, Punjabi) — 260 interface keys each</w:t>
            </w:r>
          </w:p>
        </w:tc>
      </w:tr>
      <w:tr>
        <w:trPr>
          <w:tblHeader w:val="false"/>
        </w:trPr>
        <w:tc>
          <w:tcPr>
            <w:tcW w:type="dxa" w:w="2600"/>
            <w:tcMar>
              <w:top w:type="dxa" w:w="70"/>
              <w:left w:type="dxa" w:w="100"/>
              <w:bottom w:type="dxa" w:w="70"/>
              <w:right w:type="dxa" w:w="100"/>
            </w:tcMar>
          </w:tcPr>
          <w:p>
            <w:pPr>
              <w:spacing w:after="0" w:line="250"/>
            </w:pPr>
            <w:r>
              <w:rPr>
                <w:color w:val="1A1A1A"/>
                <w:sz w:val="19"/>
                <w:szCs w:val="19"/>
              </w:rPr>
              <w:t xml:space="preserve">Automated verification</w:t>
            </w:r>
          </w:p>
        </w:tc>
        <w:tc>
          <w:tcPr>
            <w:tcW w:type="dxa" w:w="6420"/>
            <w:tcMar>
              <w:top w:type="dxa" w:w="70"/>
              <w:left w:type="dxa" w:w="100"/>
              <w:bottom w:type="dxa" w:w="70"/>
              <w:right w:type="dxa" w:w="100"/>
            </w:tcMar>
          </w:tcPr>
          <w:p>
            <w:pPr>
              <w:spacing w:after="0" w:line="250"/>
            </w:pPr>
            <w:r>
              <w:rPr>
                <w:color w:val="1A1A1A"/>
                <w:sz w:val="19"/>
                <w:szCs w:val="19"/>
              </w:rPr>
              <w:t xml:space="preserve">168 assertions across 4 suites, run against a live backend</w:t>
            </w:r>
          </w:p>
        </w:tc>
      </w:tr>
      <w:tr>
        <w:trPr>
          <w:tblHeader w:val="false"/>
        </w:trPr>
        <w:tc>
          <w:tcPr>
            <w:tcW w:type="dxa" w:w="2600"/>
            <w:shd w:fill="F3F6F4" w:color="auto" w:val="clear"/>
            <w:tcMar>
              <w:top w:type="dxa" w:w="70"/>
              <w:left w:type="dxa" w:w="100"/>
              <w:bottom w:type="dxa" w:w="70"/>
              <w:right w:type="dxa" w:w="100"/>
            </w:tcMar>
          </w:tcPr>
          <w:p>
            <w:pPr>
              <w:spacing w:after="0" w:line="250"/>
            </w:pPr>
            <w:r>
              <w:rPr>
                <w:color w:val="1A1A1A"/>
                <w:sz w:val="19"/>
                <w:szCs w:val="19"/>
              </w:rPr>
              <w:t xml:space="preserve">Adversarial testing</w:t>
            </w:r>
          </w:p>
        </w:tc>
        <w:tc>
          <w:tcPr>
            <w:tcW w:type="dxa" w:w="6420"/>
            <w:shd w:fill="F3F6F4" w:color="auto" w:val="clear"/>
            <w:tcMar>
              <w:top w:type="dxa" w:w="70"/>
              <w:left w:type="dxa" w:w="100"/>
              <w:bottom w:type="dxa" w:w="70"/>
              <w:right w:type="dxa" w:w="100"/>
            </w:tcMar>
          </w:tcPr>
          <w:p>
            <w:pPr>
              <w:spacing w:after="0" w:line="250"/>
            </w:pPr>
            <w:r>
              <w:rPr>
                <w:color w:val="1A1A1A"/>
                <w:sz w:val="19"/>
                <w:szCs w:val="19"/>
              </w:rPr>
              <w:t xml:space="preserve">10 live attack scenarios executed against the running system</w:t>
            </w:r>
          </w:p>
        </w:tc>
      </w:tr>
    </w:tbl>
    <w:p>
      <w:pPr>
        <w:spacing w:after="160"/>
      </w:pPr>
    </w:p>
    <w:p>
      <w:pPr>
        <w:pStyle w:val="Heading1"/>
        <w:spacing w:after="140" w:before="360"/>
      </w:pPr>
      <w:r>
        <w:t xml:space="preserve">2.  The problem</w:t>
      </w:r>
    </w:p>
    <w:p>
      <w:pPr>
        <w:spacing w:after="120" w:line="276"/>
      </w:pPr>
      <w:r>
        <w:rPr>
          <w:b w:val="false"/>
          <w:bCs w:val="false"/>
          <w:i w:val="false"/>
          <w:iCs w:val="false"/>
          <w:color w:val="1A1A1A"/>
          <w:sz w:val="21"/>
          <w:szCs w:val="21"/>
        </w:rPr>
        <w:t xml:space="preserve">Banks generally solve wealth management and fraud prevention in two separate systems. A customer receives investment advice from one and gets blocked by another, and neither explains itself. Three consequences follow, and the project targets all three.</w:t>
      </w:r>
    </w:p>
    <w:p>
      <w:pPr>
        <w:pStyle w:val="ListParagraph"/>
        <w:numPr>
          <w:ilvl w:val="0"/>
          <w:numId w:val="2"/>
        </w:numPr>
        <w:spacing w:after="70" w:line="268"/>
      </w:pPr>
      <w:r>
        <w:rPr>
          <w:b/>
          <w:bCs/>
          <w:i w:val="false"/>
          <w:iCs w:val="false"/>
          <w:color w:val="1A1A1A"/>
          <w:sz w:val="21"/>
          <w:szCs w:val="21"/>
        </w:rPr>
        <w:t xml:space="preserve">Advice is indistinguishable from selling. </w:t>
      </w:r>
      <w:r>
        <w:rPr>
          <w:b w:val="false"/>
          <w:bCs w:val="false"/>
          <w:i w:val="false"/>
          <w:iCs w:val="false"/>
          <w:color w:val="1A1A1A"/>
          <w:sz w:val="21"/>
          <w:szCs w:val="21"/>
        </w:rPr>
        <w:t xml:space="preserve">Recommendation engines are usually built to surface a product. They have no mechanism for concluding that the customer should not buy anything, which is sometimes the only honest answer.</w:t>
      </w:r>
    </w:p>
    <w:p>
      <w:pPr>
        <w:pStyle w:val="ListParagraph"/>
        <w:numPr>
          <w:ilvl w:val="0"/>
          <w:numId w:val="2"/>
        </w:numPr>
        <w:spacing w:after="70" w:line="268"/>
      </w:pPr>
      <w:r>
        <w:rPr>
          <w:b/>
          <w:bCs/>
          <w:i w:val="false"/>
          <w:iCs w:val="false"/>
          <w:color w:val="1A1A1A"/>
          <w:sz w:val="21"/>
          <w:szCs w:val="21"/>
        </w:rPr>
        <w:t xml:space="preserve">Security is opaque and indiscriminate. </w:t>
      </w:r>
      <w:r>
        <w:rPr>
          <w:b w:val="false"/>
          <w:bCs w:val="false"/>
          <w:i w:val="false"/>
          <w:iCs w:val="false"/>
          <w:color w:val="1A1A1A"/>
          <w:sz w:val="21"/>
          <w:szCs w:val="21"/>
        </w:rPr>
        <w:t xml:space="preserve">Fixed transaction limits punish high-value customers and let low-value fraud through, and a customer who is blocked is rarely told why in language they can act on.</w:t>
      </w:r>
    </w:p>
    <w:p>
      <w:pPr>
        <w:pStyle w:val="ListParagraph"/>
        <w:numPr>
          <w:ilvl w:val="0"/>
          <w:numId w:val="2"/>
        </w:numPr>
        <w:spacing w:after="70" w:line="268"/>
      </w:pPr>
      <w:r>
        <w:rPr>
          <w:b/>
          <w:bCs/>
          <w:i w:val="false"/>
          <w:iCs w:val="false"/>
          <w:color w:val="1A1A1A"/>
          <w:sz w:val="21"/>
          <w:szCs w:val="21"/>
        </w:rPr>
        <w:t xml:space="preserve">Audit trails assume the attacker is external. </w:t>
      </w:r>
      <w:r>
        <w:rPr>
          <w:b w:val="false"/>
          <w:bCs w:val="false"/>
          <w:i w:val="false"/>
          <w:iCs w:val="false"/>
          <w:color w:val="1A1A1A"/>
          <w:sz w:val="21"/>
          <w:szCs w:val="21"/>
        </w:rPr>
        <w:t xml:space="preserve">Most are designed against accidental loss — keep more copies. They do not survive a privileged insider who edits records directly, which is the realistic threat to a bank's own records.</w:t>
      </w:r>
    </w:p>
    <w:p>
      <w:pPr>
        <w:spacing w:after="120" w:line="276"/>
      </w:pPr>
      <w:r>
        <w:rPr>
          <w:b w:val="false"/>
          <w:bCs w:val="false"/>
          <w:i w:val="false"/>
          <w:iCs w:val="false"/>
          <w:color w:val="1A1A1A"/>
          <w:sz w:val="21"/>
          <w:szCs w:val="21"/>
        </w:rPr>
        <w:t xml:space="preserve">The design goal was a single decision path serving both concerns, where every output is explainable to the person it affects and every decision is recorded in a form that resists the bank's own staff.</w:t>
      </w:r>
    </w:p>
    <w:p>
      <w:pPr>
        <w:pStyle w:val="Heading1"/>
        <w:spacing w:after="140" w:before="360"/>
      </w:pPr>
      <w:r>
        <w:t xml:space="preserve">3.  What the system does</w:t>
      </w:r>
    </w:p>
    <w:p>
      <w:pPr>
        <w:pStyle w:val="Heading3"/>
        <w:spacing w:after="80" w:before="180"/>
      </w:pPr>
      <w:r>
        <w:t xml:space="preserve">Customer-facing</w:t>
      </w:r>
    </w:p>
    <w:p>
      <w:pPr>
        <w:pStyle w:val="ListParagraph"/>
        <w:numPr>
          <w:ilvl w:val="0"/>
          <w:numId w:val="2"/>
        </w:numPr>
        <w:spacing w:after="70" w:line="268"/>
      </w:pPr>
      <w:r>
        <w:rPr>
          <w:b/>
          <w:bCs/>
          <w:i w:val="false"/>
          <w:iCs w:val="false"/>
          <w:color w:val="1A1A1A"/>
          <w:sz w:val="21"/>
          <w:szCs w:val="21"/>
        </w:rPr>
        <w:t xml:space="preserve">Onboarding. </w:t>
      </w:r>
      <w:r>
        <w:rPr>
          <w:b w:val="false"/>
          <w:bCs w:val="false"/>
          <w:i w:val="false"/>
          <w:iCs w:val="false"/>
          <w:color w:val="1A1A1A"/>
          <w:sz w:val="21"/>
          <w:szCs w:val="21"/>
        </w:rPr>
        <w:t xml:space="preserve">Self-registration issuing a bank-style SecureWealth ID. Phone numbers are never accepted as a login identifier, so a leaked number is not an authentication route.</w:t>
      </w:r>
    </w:p>
    <w:p>
      <w:pPr>
        <w:pStyle w:val="ListParagraph"/>
        <w:numPr>
          <w:ilvl w:val="0"/>
          <w:numId w:val="2"/>
        </w:numPr>
        <w:spacing w:after="70" w:line="268"/>
      </w:pPr>
      <w:r>
        <w:rPr>
          <w:b/>
          <w:bCs/>
          <w:i w:val="false"/>
          <w:iCs w:val="false"/>
          <w:color w:val="1A1A1A"/>
          <w:sz w:val="21"/>
          <w:szCs w:val="21"/>
        </w:rPr>
        <w:t xml:space="preserve">Consent-gated aggregation. </w:t>
      </w:r>
      <w:r>
        <w:rPr>
          <w:b w:val="false"/>
          <w:bCs w:val="false"/>
          <w:i w:val="false"/>
          <w:iCs w:val="false"/>
          <w:color w:val="1A1A1A"/>
          <w:sz w:val="21"/>
          <w:szCs w:val="21"/>
        </w:rPr>
        <w:t xml:space="preserve">Wealth features are blocked until the customer explicitly consents; the endpoints return HTTP 403 until then, and consent is revocable from the profile screen.</w:t>
      </w:r>
    </w:p>
    <w:p>
      <w:pPr>
        <w:pStyle w:val="ListParagraph"/>
        <w:numPr>
          <w:ilvl w:val="0"/>
          <w:numId w:val="2"/>
        </w:numPr>
        <w:spacing w:after="70" w:line="268"/>
      </w:pPr>
      <w:r>
        <w:rPr>
          <w:b/>
          <w:bCs/>
          <w:i w:val="false"/>
          <w:iCs w:val="false"/>
          <w:color w:val="1A1A1A"/>
          <w:sz w:val="21"/>
          <w:szCs w:val="21"/>
        </w:rPr>
        <w:t xml:space="preserve">Wealth intelligence. </w:t>
      </w:r>
      <w:r>
        <w:rPr>
          <w:b w:val="false"/>
          <w:bCs w:val="false"/>
          <w:i w:val="false"/>
          <w:iCs w:val="false"/>
          <w:color w:val="1A1A1A"/>
          <w:sz w:val="21"/>
          <w:szCs w:val="21"/>
        </w:rPr>
        <w:t xml:space="preserve">Net worth, cash flow, deposits, loans, a four-dimension financial health grade, and prioritised recommendations restricted to mutual funds and deposits.</w:t>
      </w:r>
    </w:p>
    <w:p>
      <w:pPr>
        <w:pStyle w:val="ListParagraph"/>
        <w:numPr>
          <w:ilvl w:val="0"/>
          <w:numId w:val="2"/>
        </w:numPr>
        <w:spacing w:after="70" w:line="268"/>
      </w:pPr>
      <w:r>
        <w:rPr>
          <w:b/>
          <w:bCs/>
          <w:i w:val="false"/>
          <w:iCs w:val="false"/>
          <w:color w:val="1A1A1A"/>
          <w:sz w:val="21"/>
          <w:szCs w:val="21"/>
        </w:rPr>
        <w:t xml:space="preserve">Investment with in-line security. </w:t>
      </w:r>
      <w:r>
        <w:rPr>
          <w:b w:val="false"/>
          <w:bCs w:val="false"/>
          <w:i w:val="false"/>
          <w:iCs w:val="false"/>
          <w:color w:val="1A1A1A"/>
          <w:sz w:val="21"/>
          <w:szCs w:val="21"/>
        </w:rPr>
        <w:t xml:space="preserve">Every investment is judged before settlement. Ordinary activity completes with no friction; anomalous activity is held for step-up verification.</w:t>
      </w:r>
    </w:p>
    <w:p>
      <w:pPr>
        <w:pStyle w:val="ListParagraph"/>
        <w:numPr>
          <w:ilvl w:val="0"/>
          <w:numId w:val="2"/>
        </w:numPr>
        <w:spacing w:after="70" w:line="268"/>
      </w:pPr>
      <w:r>
        <w:rPr>
          <w:b/>
          <w:bCs/>
          <w:i w:val="false"/>
          <w:iCs w:val="false"/>
          <w:color w:val="1A1A1A"/>
          <w:sz w:val="21"/>
          <w:szCs w:val="21"/>
        </w:rPr>
        <w:t xml:space="preserve">Step-up verification with method choice. </w:t>
      </w:r>
      <w:r>
        <w:rPr>
          <w:b w:val="false"/>
          <w:bCs w:val="false"/>
          <w:i w:val="false"/>
          <w:iCs w:val="false"/>
          <w:color w:val="1A1A1A"/>
          <w:sz w:val="21"/>
          <w:szCs w:val="21"/>
        </w:rPr>
        <w:t xml:space="preserve">MPIN, security question, OTP and biometric, with a compensation rule that preserves the assurance level when a customer switches method mid-challenge.</w:t>
      </w:r>
    </w:p>
    <w:p>
      <w:pPr>
        <w:pStyle w:val="ListParagraph"/>
        <w:numPr>
          <w:ilvl w:val="0"/>
          <w:numId w:val="2"/>
        </w:numPr>
        <w:spacing w:after="70" w:line="268"/>
      </w:pPr>
      <w:r>
        <w:rPr>
          <w:b/>
          <w:bCs/>
          <w:i w:val="false"/>
          <w:iCs w:val="false"/>
          <w:color w:val="1A1A1A"/>
          <w:sz w:val="21"/>
          <w:szCs w:val="21"/>
        </w:rPr>
        <w:t xml:space="preserve">Customer-visible security history. </w:t>
      </w:r>
      <w:r>
        <w:rPr>
          <w:b w:val="false"/>
          <w:bCs w:val="false"/>
          <w:i w:val="false"/>
          <w:iCs w:val="false"/>
          <w:color w:val="1A1A1A"/>
          <w:sz w:val="21"/>
          <w:szCs w:val="21"/>
        </w:rPr>
        <w:t xml:space="preserve">A screen showing every check that ran on the account, sourced from the audit chain rather than a separate log.</w:t>
      </w:r>
    </w:p>
    <w:p>
      <w:pPr>
        <w:pStyle w:val="ListParagraph"/>
        <w:numPr>
          <w:ilvl w:val="0"/>
          <w:numId w:val="2"/>
        </w:numPr>
        <w:spacing w:after="70" w:line="268"/>
      </w:pPr>
      <w:r>
        <w:rPr>
          <w:b/>
          <w:bCs/>
          <w:i w:val="false"/>
          <w:iCs w:val="false"/>
          <w:color w:val="1A1A1A"/>
          <w:sz w:val="21"/>
          <w:szCs w:val="21"/>
        </w:rPr>
        <w:t xml:space="preserve">One-tap repudiation. </w:t>
      </w:r>
      <w:r>
        <w:rPr>
          <w:b w:val="false"/>
          <w:bCs w:val="false"/>
          <w:i w:val="false"/>
          <w:iCs w:val="false"/>
          <w:color w:val="1A1A1A"/>
          <w:sz w:val="21"/>
          <w:szCs w:val="21"/>
        </w:rPr>
        <w:t xml:space="preserve">“I didn't start this” stops a held investment and files a report in a single action.</w:t>
      </w:r>
    </w:p>
    <w:p>
      <w:pPr>
        <w:pStyle w:val="ListParagraph"/>
        <w:numPr>
          <w:ilvl w:val="0"/>
          <w:numId w:val="2"/>
        </w:numPr>
        <w:spacing w:after="70" w:line="268"/>
      </w:pPr>
      <w:r>
        <w:rPr>
          <w:b/>
          <w:bCs/>
          <w:i w:val="false"/>
          <w:iCs w:val="false"/>
          <w:color w:val="1A1A1A"/>
          <w:sz w:val="21"/>
          <w:szCs w:val="21"/>
        </w:rPr>
        <w:t xml:space="preserve">Phishing protection. </w:t>
      </w:r>
      <w:r>
        <w:rPr>
          <w:b w:val="false"/>
          <w:bCs w:val="false"/>
          <w:i w:val="false"/>
          <w:iCs w:val="false"/>
          <w:color w:val="1A1A1A"/>
          <w:sz w:val="21"/>
          <w:szCs w:val="21"/>
        </w:rPr>
        <w:t xml:space="preserve">Manual message checking and bulk inbox scanning, with an explanation of why a message scored as it did.</w:t>
      </w:r>
    </w:p>
    <w:p>
      <w:pPr>
        <w:pStyle w:val="ListParagraph"/>
        <w:numPr>
          <w:ilvl w:val="0"/>
          <w:numId w:val="2"/>
        </w:numPr>
        <w:spacing w:after="70" w:line="268"/>
      </w:pPr>
      <w:r>
        <w:rPr>
          <w:b/>
          <w:bCs/>
          <w:i w:val="false"/>
          <w:iCs w:val="false"/>
          <w:color w:val="1A1A1A"/>
          <w:sz w:val="21"/>
          <w:szCs w:val="21"/>
        </w:rPr>
        <w:t xml:space="preserve">Full trilingual operation. </w:t>
      </w:r>
      <w:r>
        <w:rPr>
          <w:b w:val="false"/>
          <w:bCs w:val="false"/>
          <w:i w:val="false"/>
          <w:iCs w:val="false"/>
          <w:color w:val="1A1A1A"/>
          <w:sz w:val="21"/>
          <w:szCs w:val="21"/>
        </w:rPr>
        <w:t xml:space="preserve">Interface and AI-generated explanations in English, Hindi and Punjabi.</w:t>
      </w:r>
    </w:p>
    <w:p>
      <w:pPr>
        <w:pStyle w:val="Heading3"/>
        <w:spacing w:after="80" w:before="180"/>
      </w:pPr>
      <w:r>
        <w:t xml:space="preserve">Bank-facing</w:t>
      </w:r>
    </w:p>
    <w:p>
      <w:pPr>
        <w:pStyle w:val="ListParagraph"/>
        <w:numPr>
          <w:ilvl w:val="0"/>
          <w:numId w:val="2"/>
        </w:numPr>
        <w:spacing w:after="70" w:line="268"/>
      </w:pPr>
      <w:r>
        <w:rPr>
          <w:b/>
          <w:bCs/>
          <w:i w:val="false"/>
          <w:iCs w:val="false"/>
          <w:color w:val="1A1A1A"/>
          <w:sz w:val="21"/>
          <w:szCs w:val="21"/>
        </w:rPr>
        <w:t xml:space="preserve">Operations console. </w:t>
      </w:r>
      <w:r>
        <w:rPr>
          <w:b w:val="false"/>
          <w:bCs w:val="false"/>
          <w:i w:val="false"/>
          <w:iCs w:val="false"/>
          <w:color w:val="1A1A1A"/>
          <w:sz w:val="21"/>
          <w:szCs w:val="21"/>
        </w:rPr>
        <w:t xml:space="preserve">Decision volumes, average risk, blocked amounts, live fraud alerts.</w:t>
      </w:r>
    </w:p>
    <w:p>
      <w:pPr>
        <w:pStyle w:val="ListParagraph"/>
        <w:numPr>
          <w:ilvl w:val="0"/>
          <w:numId w:val="2"/>
        </w:numPr>
        <w:spacing w:after="70" w:line="268"/>
      </w:pPr>
      <w:r>
        <w:rPr>
          <w:b/>
          <w:bCs/>
          <w:i w:val="false"/>
          <w:iCs w:val="false"/>
          <w:color w:val="1A1A1A"/>
          <w:sz w:val="21"/>
          <w:szCs w:val="21"/>
        </w:rPr>
        <w:t xml:space="preserve">Audit console. </w:t>
      </w:r>
      <w:r>
        <w:rPr>
          <w:b w:val="false"/>
          <w:bCs w:val="false"/>
          <w:i w:val="false"/>
          <w:iCs w:val="false"/>
          <w:color w:val="1A1A1A"/>
          <w:sz w:val="21"/>
          <w:szCs w:val="21"/>
        </w:rPr>
        <w:t xml:space="preserve">Filterable audit search with per-record drill-down into all four copies, and a live chain-integrity indicator.</w:t>
      </w:r>
    </w:p>
    <w:p>
      <w:pPr>
        <w:pStyle w:val="ListParagraph"/>
        <w:numPr>
          <w:ilvl w:val="0"/>
          <w:numId w:val="2"/>
        </w:numPr>
        <w:spacing w:after="70" w:line="268"/>
      </w:pPr>
      <w:r>
        <w:rPr>
          <w:b/>
          <w:bCs/>
          <w:i w:val="false"/>
          <w:iCs w:val="false"/>
          <w:color w:val="1A1A1A"/>
          <w:sz w:val="21"/>
          <w:szCs w:val="21"/>
        </w:rPr>
        <w:t xml:space="preserve">Adversarial resilience console. </w:t>
      </w:r>
      <w:r>
        <w:rPr>
          <w:b w:val="false"/>
          <w:bCs w:val="false"/>
          <w:i w:val="false"/>
          <w:iCs w:val="false"/>
          <w:color w:val="1A1A1A"/>
          <w:sz w:val="21"/>
          <w:szCs w:val="21"/>
        </w:rPr>
        <w:t xml:space="preserve">Ten attack scenarios that execute against the running system — not replayed recordings — and render a step-by-step timeline of what the defences did.</w:t>
      </w:r>
    </w:p>
    <w:p>
      <w:pPr>
        <w:pStyle w:val="Heading1"/>
        <w:spacing w:after="140" w:before="360"/>
      </w:pPr>
      <w:r>
        <w:t xml:space="preserve">4.  Architecture</w:t>
      </w:r>
    </w:p>
    <w:p>
      <w:pPr>
        <w:spacing w:after="120" w:line="276"/>
      </w:pPr>
      <w:r>
        <w:rPr>
          <w:b w:val="false"/>
          <w:bCs w:val="false"/>
          <w:i w:val="false"/>
          <w:iCs w:val="false"/>
          <w:color w:val="1A1A1A"/>
          <w:sz w:val="21"/>
          <w:szCs w:val="21"/>
        </w:rPr>
        <w:t xml:space="preserve">Five layers, with requests flowing downward. The critical property is that the security pipeline sits between the API and the data layer, so no investment reaches the database without a decision attached.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0"/>
      </w:tblGrid>
      <w:tr>
        <w:trPr>
          <w:tblHeader/>
        </w:trPr>
        <w:tc>
          <w:tcPr>
            <w:tcW w:type="dxa" w:w="1500"/>
            <w:shd w:fill="0B5D3B" w:color="auto" w:val="clear"/>
            <w:tcMar>
              <w:top w:type="dxa" w:w="70"/>
              <w:left w:type="dxa" w:w="100"/>
              <w:bottom w:type="dxa" w:w="70"/>
              <w:right w:type="dxa" w:w="100"/>
            </w:tcMar>
          </w:tcPr>
          <w:p>
            <w:pPr>
              <w:spacing w:after="0" w:line="250"/>
            </w:pPr>
            <w:r>
              <w:rPr>
                <w:b/>
                <w:bCs/>
                <w:color w:val="FFFFFF"/>
                <w:sz w:val="19"/>
                <w:szCs w:val="19"/>
              </w:rPr>
              <w:t xml:space="preserve">Layer</w:t>
            </w:r>
          </w:p>
        </w:tc>
        <w:tc>
          <w:tcPr>
            <w:tcW w:type="dxa" w:w="4000"/>
            <w:shd w:fill="0B5D3B" w:color="auto" w:val="clear"/>
            <w:tcMar>
              <w:top w:type="dxa" w:w="70"/>
              <w:left w:type="dxa" w:w="100"/>
              <w:bottom w:type="dxa" w:w="70"/>
              <w:right w:type="dxa" w:w="100"/>
            </w:tcMar>
          </w:tcPr>
          <w:p>
            <w:pPr>
              <w:spacing w:after="0" w:line="250"/>
            </w:pPr>
            <w:r>
              <w:rPr>
                <w:b/>
                <w:bCs/>
                <w:color w:val="FFFFFF"/>
                <w:sz w:val="19"/>
                <w:szCs w:val="19"/>
              </w:rPr>
              <w:t xml:space="preserve">Contents</w:t>
            </w:r>
          </w:p>
        </w:tc>
        <w:tc>
          <w:tcPr>
            <w:tcW w:type="dxa" w:w="3520"/>
            <w:shd w:fill="0B5D3B" w:color="auto" w:val="clear"/>
            <w:tcMar>
              <w:top w:type="dxa" w:w="70"/>
              <w:left w:type="dxa" w:w="100"/>
              <w:bottom w:type="dxa" w:w="70"/>
              <w:right w:type="dxa" w:w="100"/>
            </w:tcMar>
          </w:tcPr>
          <w:p>
            <w:pPr>
              <w:spacing w:after="0" w:line="250"/>
            </w:pPr>
            <w:r>
              <w:rPr>
                <w:b/>
                <w:bCs/>
                <w:color w:val="FFFFFF"/>
                <w:sz w:val="19"/>
                <w:szCs w:val="19"/>
              </w:rPr>
              <w:t xml:space="preserve">Notable property</w:t>
            </w:r>
          </w:p>
        </w:tc>
      </w:tr>
      <w:tr>
        <w:trPr>
          <w:tblHeader w:val="false"/>
        </w:trPr>
        <w:tc>
          <w:tcPr>
            <w:tcW w:type="dxa" w:w="1500"/>
            <w:tcMar>
              <w:top w:type="dxa" w:w="70"/>
              <w:left w:type="dxa" w:w="100"/>
              <w:bottom w:type="dxa" w:w="70"/>
              <w:right w:type="dxa" w:w="100"/>
            </w:tcMar>
          </w:tcPr>
          <w:p>
            <w:pPr>
              <w:spacing w:after="0" w:line="250"/>
            </w:pPr>
            <w:r>
              <w:rPr>
                <w:color w:val="1A1A1A"/>
                <w:sz w:val="19"/>
                <w:szCs w:val="19"/>
              </w:rPr>
              <w:t xml:space="preserve">Clients</w:t>
            </w:r>
          </w:p>
        </w:tc>
        <w:tc>
          <w:tcPr>
            <w:tcW w:type="dxa" w:w="4000"/>
            <w:tcMar>
              <w:top w:type="dxa" w:w="70"/>
              <w:left w:type="dxa" w:w="100"/>
              <w:bottom w:type="dxa" w:w="70"/>
              <w:right w:type="dxa" w:w="100"/>
            </w:tcMar>
          </w:tcPr>
          <w:p>
            <w:pPr>
              <w:spacing w:after="0" w:line="250"/>
            </w:pPr>
            <w:r>
              <w:rPr>
                <w:color w:val="1A1A1A"/>
                <w:sz w:val="19"/>
                <w:szCs w:val="19"/>
              </w:rPr>
              <w:t xml:space="preserve">React Native mobile app; browser-based admin console</w:t>
            </w:r>
          </w:p>
        </w:tc>
        <w:tc>
          <w:tcPr>
            <w:tcW w:type="dxa" w:w="3520"/>
            <w:tcMar>
              <w:top w:type="dxa" w:w="70"/>
              <w:left w:type="dxa" w:w="100"/>
              <w:bottom w:type="dxa" w:w="70"/>
              <w:right w:type="dxa" w:w="100"/>
            </w:tcMar>
          </w:tcPr>
          <w:p>
            <w:pPr>
              <w:spacing w:after="0" w:line="250"/>
            </w:pPr>
            <w:r>
              <w:rPr>
                <w:color w:val="1A1A1A"/>
                <w:sz w:val="19"/>
                <w:szCs w:val="19"/>
              </w:rPr>
              <w:t xml:space="preserve">No security logic client-side; the app renders verdicts, it never computes them</w:t>
            </w:r>
          </w:p>
        </w:tc>
      </w:tr>
      <w:tr>
        <w:trPr>
          <w:tblHeader w:val="false"/>
        </w:trPr>
        <w:tc>
          <w:tcPr>
            <w:tcW w:type="dxa" w:w="1500"/>
            <w:shd w:fill="F3F6F4" w:color="auto" w:val="clear"/>
            <w:tcMar>
              <w:top w:type="dxa" w:w="70"/>
              <w:left w:type="dxa" w:w="100"/>
              <w:bottom w:type="dxa" w:w="70"/>
              <w:right w:type="dxa" w:w="100"/>
            </w:tcMar>
          </w:tcPr>
          <w:p>
            <w:pPr>
              <w:spacing w:after="0" w:line="250"/>
            </w:pPr>
            <w:r>
              <w:rPr>
                <w:color w:val="1A1A1A"/>
                <w:sz w:val="19"/>
                <w:szCs w:val="19"/>
              </w:rPr>
              <w:t xml:space="preserve">API</w:t>
            </w:r>
          </w:p>
        </w:tc>
        <w:tc>
          <w:tcPr>
            <w:tcW w:type="dxa" w:w="4000"/>
            <w:shd w:fill="F3F6F4" w:color="auto" w:val="clear"/>
            <w:tcMar>
              <w:top w:type="dxa" w:w="70"/>
              <w:left w:type="dxa" w:w="100"/>
              <w:bottom w:type="dxa" w:w="70"/>
              <w:right w:type="dxa" w:w="100"/>
            </w:tcMar>
          </w:tcPr>
          <w:p>
            <w:pPr>
              <w:spacing w:after="0" w:line="250"/>
            </w:pPr>
            <w:r>
              <w:rPr>
                <w:color w:val="1A1A1A"/>
                <w:sz w:val="19"/>
                <w:szCs w:val="19"/>
              </w:rPr>
              <w:t xml:space="preserve">FastAPI routers: auth, aggregation, transactions, security, AI, audit, admin</w:t>
            </w:r>
          </w:p>
        </w:tc>
        <w:tc>
          <w:tcPr>
            <w:tcW w:type="dxa" w:w="3520"/>
            <w:shd w:fill="F3F6F4" w:color="auto" w:val="clear"/>
            <w:tcMar>
              <w:top w:type="dxa" w:w="70"/>
              <w:left w:type="dxa" w:w="100"/>
              <w:bottom w:type="dxa" w:w="70"/>
              <w:right w:type="dxa" w:w="100"/>
            </w:tcMar>
          </w:tcPr>
          <w:p>
            <w:pPr>
              <w:spacing w:after="0" w:line="250"/>
            </w:pPr>
            <w:r>
              <w:rPr>
                <w:color w:val="1A1A1A"/>
                <w:sz w:val="19"/>
                <w:szCs w:val="19"/>
              </w:rPr>
              <w:t xml:space="preserve">Stateless — session state lives in the token, so it scales horizontally behind a load balancer</w:t>
            </w:r>
          </w:p>
        </w:tc>
      </w:tr>
      <w:tr>
        <w:trPr>
          <w:tblHeader w:val="false"/>
        </w:trPr>
        <w:tc>
          <w:tcPr>
            <w:tcW w:type="dxa" w:w="1500"/>
            <w:tcMar>
              <w:top w:type="dxa" w:w="70"/>
              <w:left w:type="dxa" w:w="100"/>
              <w:bottom w:type="dxa" w:w="70"/>
              <w:right w:type="dxa" w:w="100"/>
            </w:tcMar>
          </w:tcPr>
          <w:p>
            <w:pPr>
              <w:spacing w:after="0" w:line="250"/>
            </w:pPr>
            <w:r>
              <w:rPr>
                <w:color w:val="1A1A1A"/>
                <w:sz w:val="19"/>
                <w:szCs w:val="19"/>
              </w:rPr>
              <w:t xml:space="preserve">Security pipeline</w:t>
            </w:r>
          </w:p>
        </w:tc>
        <w:tc>
          <w:tcPr>
            <w:tcW w:type="dxa" w:w="4000"/>
            <w:tcMar>
              <w:top w:type="dxa" w:w="70"/>
              <w:left w:type="dxa" w:w="100"/>
              <w:bottom w:type="dxa" w:w="70"/>
              <w:right w:type="dxa" w:w="100"/>
            </w:tcMar>
          </w:tcPr>
          <w:p>
            <w:pPr>
              <w:spacing w:after="0" w:line="250"/>
            </w:pPr>
            <w:r>
              <w:rPr>
                <w:color w:val="1A1A1A"/>
                <w:sz w:val="19"/>
                <w:szCs w:val="19"/>
              </w:rPr>
              <w:t xml:space="preserve">Behaviour → fraud ML → zero-day → risk → decision</w:t>
            </w:r>
          </w:p>
        </w:tc>
        <w:tc>
          <w:tcPr>
            <w:tcW w:type="dxa" w:w="3520"/>
            <w:tcMar>
              <w:top w:type="dxa" w:w="70"/>
              <w:left w:type="dxa" w:w="100"/>
              <w:bottom w:type="dxa" w:w="70"/>
              <w:right w:type="dxa" w:w="100"/>
            </w:tcMar>
          </w:tcPr>
          <w:p>
            <w:pPr>
              <w:spacing w:after="0" w:line="250"/>
            </w:pPr>
            <w:r>
              <w:rPr>
                <w:color w:val="1A1A1A"/>
                <w:sz w:val="19"/>
                <w:szCs w:val="19"/>
              </w:rPr>
              <w:t xml:space="preserve">Runs in-line on every investment, before settlement</w:t>
            </w:r>
          </w:p>
        </w:tc>
      </w:tr>
      <w:tr>
        <w:trPr>
          <w:tblHeader w:val="false"/>
        </w:trPr>
        <w:tc>
          <w:tcPr>
            <w:tcW w:type="dxa" w:w="1500"/>
            <w:shd w:fill="F3F6F4" w:color="auto" w:val="clear"/>
            <w:tcMar>
              <w:top w:type="dxa" w:w="70"/>
              <w:left w:type="dxa" w:w="100"/>
              <w:bottom w:type="dxa" w:w="70"/>
              <w:right w:type="dxa" w:w="100"/>
            </w:tcMar>
          </w:tcPr>
          <w:p>
            <w:pPr>
              <w:spacing w:after="0" w:line="250"/>
            </w:pPr>
            <w:r>
              <w:rPr>
                <w:color w:val="1A1A1A"/>
                <w:sz w:val="19"/>
                <w:szCs w:val="19"/>
              </w:rPr>
              <w:t xml:space="preserve">Intelligence</w:t>
            </w:r>
          </w:p>
        </w:tc>
        <w:tc>
          <w:tcPr>
            <w:tcW w:type="dxa" w:w="4000"/>
            <w:shd w:fill="F3F6F4" w:color="auto" w:val="clear"/>
            <w:tcMar>
              <w:top w:type="dxa" w:w="70"/>
              <w:left w:type="dxa" w:w="100"/>
              <w:bottom w:type="dxa" w:w="70"/>
              <w:right w:type="dxa" w:w="100"/>
            </w:tcMar>
          </w:tcPr>
          <w:p>
            <w:pPr>
              <w:spacing w:after="0" w:line="250"/>
            </w:pPr>
            <w:r>
              <w:rPr>
                <w:color w:val="1A1A1A"/>
                <w:sz w:val="19"/>
                <w:szCs w:val="19"/>
              </w:rPr>
              <w:t xml:space="preserve">Wealth engine, 7 explainability engines, local LLM</w:t>
            </w:r>
          </w:p>
        </w:tc>
        <w:tc>
          <w:tcPr>
            <w:tcW w:type="dxa" w:w="3520"/>
            <w:shd w:fill="F3F6F4" w:color="auto" w:val="clear"/>
            <w:tcMar>
              <w:top w:type="dxa" w:w="70"/>
              <w:left w:type="dxa" w:w="100"/>
              <w:bottom w:type="dxa" w:w="70"/>
              <w:right w:type="dxa" w:w="100"/>
            </w:tcMar>
          </w:tcPr>
          <w:p>
            <w:pPr>
              <w:spacing w:after="0" w:line="250"/>
            </w:pPr>
            <w:r>
              <w:rPr>
                <w:color w:val="1A1A1A"/>
                <w:sz w:val="19"/>
                <w:szCs w:val="19"/>
              </w:rPr>
              <w:t xml:space="preserve">Reads decisions; cannot influence them — the model is outside the security-critical path</w:t>
            </w:r>
          </w:p>
        </w:tc>
      </w:tr>
      <w:tr>
        <w:trPr>
          <w:tblHeader w:val="false"/>
        </w:trPr>
        <w:tc>
          <w:tcPr>
            <w:tcW w:type="dxa" w:w="1500"/>
            <w:tcMar>
              <w:top w:type="dxa" w:w="70"/>
              <w:left w:type="dxa" w:w="100"/>
              <w:bottom w:type="dxa" w:w="70"/>
              <w:right w:type="dxa" w:w="100"/>
            </w:tcMar>
          </w:tcPr>
          <w:p>
            <w:pPr>
              <w:spacing w:after="0" w:line="250"/>
            </w:pPr>
            <w:r>
              <w:rPr>
                <w:color w:val="1A1A1A"/>
                <w:sz w:val="19"/>
                <w:szCs w:val="19"/>
              </w:rPr>
              <w:t xml:space="preserve">Data &amp; audit</w:t>
            </w:r>
          </w:p>
        </w:tc>
        <w:tc>
          <w:tcPr>
            <w:tcW w:type="dxa" w:w="4000"/>
            <w:tcMar>
              <w:top w:type="dxa" w:w="70"/>
              <w:left w:type="dxa" w:w="100"/>
              <w:bottom w:type="dxa" w:w="70"/>
              <w:right w:type="dxa" w:w="100"/>
            </w:tcMar>
          </w:tcPr>
          <w:p>
            <w:pPr>
              <w:spacing w:after="0" w:line="250"/>
            </w:pPr>
            <w:r>
              <w:rPr>
                <w:color w:val="1A1A1A"/>
                <w:sz w:val="19"/>
                <w:szCs w:val="19"/>
              </w:rPr>
              <w:t xml:space="preserve">PostgreSQL: operational tables, audit master, three replicas</w:t>
            </w:r>
          </w:p>
        </w:tc>
        <w:tc>
          <w:tcPr>
            <w:tcW w:type="dxa" w:w="3520"/>
            <w:tcMar>
              <w:top w:type="dxa" w:w="70"/>
              <w:left w:type="dxa" w:w="100"/>
              <w:bottom w:type="dxa" w:w="70"/>
              <w:right w:type="dxa" w:w="100"/>
            </w:tcMar>
          </w:tcPr>
          <w:p>
            <w:pPr>
              <w:spacing w:after="0" w:line="250"/>
            </w:pPr>
            <w:r>
              <w:rPr>
                <w:color w:val="1A1A1A"/>
                <w:sz w:val="19"/>
                <w:szCs w:val="19"/>
              </w:rPr>
              <w:t xml:space="preserve">Hash chain and digital signature over every decision record</w:t>
            </w:r>
          </w:p>
        </w:tc>
      </w:tr>
    </w:tbl>
    <w:p>
      <w:pPr>
        <w:spacing w:after="160"/>
      </w:pPr>
    </w:p>
    <w:tbl>
      <w:tblPr>
        <w:tblW w:type="dxa" w:w="9020"/>
        <w:tblBorders>
          <w:top w:val="none"/>
          <w:left w:val="single" w:color="8A6D12" w:sz="18"/>
          <w:bottom w:val="none"/>
          <w:right w:val="none"/>
          <w:insideH w:val="none"/>
          <w:insideV w:val="none"/>
        </w:tblBorders>
      </w:tblPr>
      <w:tblGrid>
        <w:gridCol w:w="9020"/>
      </w:tblGrid>
      <w:tr>
        <w:tc>
          <w:tcPr>
            <w:tcW w:type="dxa" w:w="9020"/>
            <w:shd w:fill="F3F6F4" w:color="auto" w:val="clear"/>
            <w:tcMar>
              <w:top w:type="dxa" w:w="110"/>
              <w:left w:type="dxa" w:w="150"/>
              <w:bottom w:type="dxa" w:w="110"/>
              <w:right w:type="dxa" w:w="130"/>
            </w:tcMar>
          </w:tcPr>
          <w:p>
            <w:pPr>
              <w:spacing w:after="0" w:line="268"/>
            </w:pPr>
            <w:r>
              <w:rPr>
                <w:b/>
                <w:bCs/>
                <w:color w:val="0B5D3B"/>
                <w:sz w:val="20"/>
                <w:szCs w:val="20"/>
              </w:rPr>
              <w:t xml:space="preserve">Design decision worth stating in an interview.  </w:t>
            </w:r>
            <w:r>
              <w:rPr>
                <w:color w:val="1A1A1A"/>
                <w:sz w:val="20"/>
                <w:szCs w:val="20"/>
              </w:rPr>
              <w:t xml:space="preserve">The language model sits below the decision layer and only reads the verdict that was already produced. This is deliberate: it means an LLM failure, or an adversarial prompt, cannot change a security outcome. “We use an LLM in a banking security system” is a natural objection, and this is the answer to it.</w:t>
            </w:r>
          </w:p>
        </w:tc>
      </w:tr>
    </w:tbl>
    <w:p>
      <w:pPr>
        <w:spacing w:after="160"/>
      </w:pPr>
    </w:p>
    <w:p>
      <w:pPr>
        <w:pStyle w:val="Heading1"/>
        <w:spacing w:after="140" w:before="360"/>
      </w:pPr>
      <w:r>
        <w:t xml:space="preserve">5.  Technology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50"/>
        <w:gridCol w:w="3200"/>
        <w:gridCol w:w="4470"/>
      </w:tblGrid>
      <w:tr>
        <w:trPr>
          <w:tblHeader/>
        </w:trPr>
        <w:tc>
          <w:tcPr>
            <w:tcW w:type="dxa" w:w="1350"/>
            <w:shd w:fill="0B5D3B" w:color="auto" w:val="clear"/>
            <w:tcMar>
              <w:top w:type="dxa" w:w="70"/>
              <w:left w:type="dxa" w:w="100"/>
              <w:bottom w:type="dxa" w:w="70"/>
              <w:right w:type="dxa" w:w="100"/>
            </w:tcMar>
          </w:tcPr>
          <w:p>
            <w:pPr>
              <w:spacing w:after="0" w:line="250"/>
            </w:pPr>
            <w:r>
              <w:rPr>
                <w:b/>
                <w:bCs/>
                <w:color w:val="FFFFFF"/>
                <w:sz w:val="19"/>
                <w:szCs w:val="19"/>
              </w:rPr>
              <w:t xml:space="preserve">Area</w:t>
            </w:r>
          </w:p>
        </w:tc>
        <w:tc>
          <w:tcPr>
            <w:tcW w:type="dxa" w:w="3200"/>
            <w:shd w:fill="0B5D3B" w:color="auto" w:val="clear"/>
            <w:tcMar>
              <w:top w:type="dxa" w:w="70"/>
              <w:left w:type="dxa" w:w="100"/>
              <w:bottom w:type="dxa" w:w="70"/>
              <w:right w:type="dxa" w:w="100"/>
            </w:tcMar>
          </w:tcPr>
          <w:p>
            <w:pPr>
              <w:spacing w:after="0" w:line="250"/>
            </w:pPr>
            <w:r>
              <w:rPr>
                <w:b/>
                <w:bCs/>
                <w:color w:val="FFFFFF"/>
                <w:sz w:val="19"/>
                <w:szCs w:val="19"/>
              </w:rPr>
              <w:t xml:space="preserve">Technology</w:t>
            </w:r>
          </w:p>
        </w:tc>
        <w:tc>
          <w:tcPr>
            <w:tcW w:type="dxa" w:w="4470"/>
            <w:shd w:fill="0B5D3B" w:color="auto" w:val="clear"/>
            <w:tcMar>
              <w:top w:type="dxa" w:w="70"/>
              <w:left w:type="dxa" w:w="100"/>
              <w:bottom w:type="dxa" w:w="70"/>
              <w:right w:type="dxa" w:w="100"/>
            </w:tcMar>
          </w:tcPr>
          <w:p>
            <w:pPr>
              <w:spacing w:after="0" w:line="250"/>
            </w:pPr>
            <w:r>
              <w:rPr>
                <w:b/>
                <w:bCs/>
                <w:color w:val="FFFFFF"/>
                <w:sz w:val="19"/>
                <w:szCs w:val="19"/>
              </w:rPr>
              <w:t xml:space="preserve">Why</w:t>
            </w:r>
          </w:p>
        </w:tc>
      </w:tr>
      <w:tr>
        <w:trPr>
          <w:tblHeader w:val="false"/>
        </w:trPr>
        <w:tc>
          <w:tcPr>
            <w:tcW w:type="dxa" w:w="1350"/>
            <w:tcMar>
              <w:top w:type="dxa" w:w="70"/>
              <w:left w:type="dxa" w:w="100"/>
              <w:bottom w:type="dxa" w:w="70"/>
              <w:right w:type="dxa" w:w="100"/>
            </w:tcMar>
          </w:tcPr>
          <w:p>
            <w:pPr>
              <w:spacing w:after="0" w:line="250"/>
            </w:pPr>
            <w:r>
              <w:rPr>
                <w:color w:val="1A1A1A"/>
                <w:sz w:val="19"/>
                <w:szCs w:val="19"/>
              </w:rPr>
              <w:t xml:space="preserve">Mobile</w:t>
            </w:r>
          </w:p>
        </w:tc>
        <w:tc>
          <w:tcPr>
            <w:tcW w:type="dxa" w:w="3200"/>
            <w:tcMar>
              <w:top w:type="dxa" w:w="70"/>
              <w:left w:type="dxa" w:w="100"/>
              <w:bottom w:type="dxa" w:w="70"/>
              <w:right w:type="dxa" w:w="100"/>
            </w:tcMar>
          </w:tcPr>
          <w:p>
            <w:pPr>
              <w:spacing w:after="0" w:line="250"/>
            </w:pPr>
            <w:r>
              <w:rPr>
                <w:color w:val="1A1A1A"/>
                <w:sz w:val="19"/>
                <w:szCs w:val="19"/>
              </w:rPr>
              <w:t xml:space="preserve">React Native 0.81, Expo SDK 54, React 19, React Navigation 7, TypeScript</w:t>
            </w:r>
          </w:p>
        </w:tc>
        <w:tc>
          <w:tcPr>
            <w:tcW w:type="dxa" w:w="4470"/>
            <w:tcMar>
              <w:top w:type="dxa" w:w="70"/>
              <w:left w:type="dxa" w:w="100"/>
              <w:bottom w:type="dxa" w:w="70"/>
              <w:right w:type="dxa" w:w="100"/>
            </w:tcMar>
          </w:tcPr>
          <w:p>
            <w:pPr>
              <w:spacing w:after="0" w:line="250"/>
            </w:pPr>
            <w:r>
              <w:rPr>
                <w:color w:val="1A1A1A"/>
                <w:sz w:val="19"/>
                <w:szCs w:val="19"/>
              </w:rPr>
              <w:t xml:space="preserve">One codebase; strict typing across the API boundary, enforced by a contract test that asserts the response shapes each screen reads</w:t>
            </w:r>
          </w:p>
        </w:tc>
      </w:tr>
      <w:tr>
        <w:trPr>
          <w:tblHeader w:val="false"/>
        </w:trPr>
        <w:tc>
          <w:tcPr>
            <w:tcW w:type="dxa" w:w="1350"/>
            <w:shd w:fill="F3F6F4" w:color="auto" w:val="clear"/>
            <w:tcMar>
              <w:top w:type="dxa" w:w="70"/>
              <w:left w:type="dxa" w:w="100"/>
              <w:bottom w:type="dxa" w:w="70"/>
              <w:right w:type="dxa" w:w="100"/>
            </w:tcMar>
          </w:tcPr>
          <w:p>
            <w:pPr>
              <w:spacing w:after="0" w:line="250"/>
            </w:pPr>
            <w:r>
              <w:rPr>
                <w:color w:val="1A1A1A"/>
                <w:sz w:val="19"/>
                <w:szCs w:val="19"/>
              </w:rPr>
              <w:t xml:space="preserve">API</w:t>
            </w:r>
          </w:p>
        </w:tc>
        <w:tc>
          <w:tcPr>
            <w:tcW w:type="dxa" w:w="3200"/>
            <w:shd w:fill="F3F6F4" w:color="auto" w:val="clear"/>
            <w:tcMar>
              <w:top w:type="dxa" w:w="70"/>
              <w:left w:type="dxa" w:w="100"/>
              <w:bottom w:type="dxa" w:w="70"/>
              <w:right w:type="dxa" w:w="100"/>
            </w:tcMar>
          </w:tcPr>
          <w:p>
            <w:pPr>
              <w:spacing w:after="0" w:line="250"/>
            </w:pPr>
            <w:r>
              <w:rPr>
                <w:color w:val="1A1A1A"/>
                <w:sz w:val="19"/>
                <w:szCs w:val="19"/>
              </w:rPr>
              <w:t xml:space="preserve">FastAPI 0.138, Pydantic v2, SQLAlchemy 2.0, Alembic</w:t>
            </w:r>
          </w:p>
        </w:tc>
        <w:tc>
          <w:tcPr>
            <w:tcW w:type="dxa" w:w="4470"/>
            <w:shd w:fill="F3F6F4" w:color="auto" w:val="clear"/>
            <w:tcMar>
              <w:top w:type="dxa" w:w="70"/>
              <w:left w:type="dxa" w:w="100"/>
              <w:bottom w:type="dxa" w:w="70"/>
              <w:right w:type="dxa" w:w="100"/>
            </w:tcMar>
          </w:tcPr>
          <w:p>
            <w:pPr>
              <w:spacing w:after="0" w:line="250"/>
            </w:pPr>
            <w:r>
              <w:rPr>
                <w:color w:val="1A1A1A"/>
                <w:sz w:val="19"/>
                <w:szCs w:val="19"/>
              </w:rPr>
              <w:t xml:space="preserve">Async-capable, schema-validated at the boundary, migrations version-controlled</w:t>
            </w:r>
          </w:p>
        </w:tc>
      </w:tr>
      <w:tr>
        <w:trPr>
          <w:tblHeader w:val="false"/>
        </w:trPr>
        <w:tc>
          <w:tcPr>
            <w:tcW w:type="dxa" w:w="1350"/>
            <w:tcMar>
              <w:top w:type="dxa" w:w="70"/>
              <w:left w:type="dxa" w:w="100"/>
              <w:bottom w:type="dxa" w:w="70"/>
              <w:right w:type="dxa" w:w="100"/>
            </w:tcMar>
          </w:tcPr>
          <w:p>
            <w:pPr>
              <w:spacing w:after="0" w:line="250"/>
            </w:pPr>
            <w:r>
              <w:rPr>
                <w:color w:val="1A1A1A"/>
                <w:sz w:val="19"/>
                <w:szCs w:val="19"/>
              </w:rPr>
              <w:t xml:space="preserve">Database</w:t>
            </w:r>
          </w:p>
        </w:tc>
        <w:tc>
          <w:tcPr>
            <w:tcW w:type="dxa" w:w="3200"/>
            <w:tcMar>
              <w:top w:type="dxa" w:w="70"/>
              <w:left w:type="dxa" w:w="100"/>
              <w:bottom w:type="dxa" w:w="70"/>
              <w:right w:type="dxa" w:w="100"/>
            </w:tcMar>
          </w:tcPr>
          <w:p>
            <w:pPr>
              <w:spacing w:after="0" w:line="250"/>
            </w:pPr>
            <w:r>
              <w:rPr>
                <w:color w:val="1A1A1A"/>
                <w:sz w:val="19"/>
                <w:szCs w:val="19"/>
              </w:rPr>
              <w:t xml:space="preserve">PostgreSQL (managed / Supabase)</w:t>
            </w:r>
          </w:p>
        </w:tc>
        <w:tc>
          <w:tcPr>
            <w:tcW w:type="dxa" w:w="4470"/>
            <w:tcMar>
              <w:top w:type="dxa" w:w="70"/>
              <w:left w:type="dxa" w:w="100"/>
              <w:bottom w:type="dxa" w:w="70"/>
              <w:right w:type="dxa" w:w="100"/>
            </w:tcMar>
          </w:tcPr>
          <w:p>
            <w:pPr>
              <w:spacing w:after="0" w:line="250"/>
            </w:pPr>
            <w:r>
              <w:rPr>
                <w:color w:val="1A1A1A"/>
                <w:sz w:val="19"/>
                <w:szCs w:val="19"/>
              </w:rPr>
              <w:t xml:space="preserve">Relational integrity for financial records; audit master plus three replica tables</w:t>
            </w:r>
          </w:p>
        </w:tc>
      </w:tr>
      <w:tr>
        <w:trPr>
          <w:tblHeader w:val="false"/>
        </w:trPr>
        <w:tc>
          <w:tcPr>
            <w:tcW w:type="dxa" w:w="1350"/>
            <w:shd w:fill="F3F6F4" w:color="auto" w:val="clear"/>
            <w:tcMar>
              <w:top w:type="dxa" w:w="70"/>
              <w:left w:type="dxa" w:w="100"/>
              <w:bottom w:type="dxa" w:w="70"/>
              <w:right w:type="dxa" w:w="100"/>
            </w:tcMar>
          </w:tcPr>
          <w:p>
            <w:pPr>
              <w:spacing w:after="0" w:line="250"/>
            </w:pPr>
            <w:r>
              <w:rPr>
                <w:color w:val="1A1A1A"/>
                <w:sz w:val="19"/>
                <w:szCs w:val="19"/>
              </w:rPr>
              <w:t xml:space="preserve">Fraud model</w:t>
            </w:r>
          </w:p>
        </w:tc>
        <w:tc>
          <w:tcPr>
            <w:tcW w:type="dxa" w:w="3200"/>
            <w:shd w:fill="F3F6F4" w:color="auto" w:val="clear"/>
            <w:tcMar>
              <w:top w:type="dxa" w:w="70"/>
              <w:left w:type="dxa" w:w="100"/>
              <w:bottom w:type="dxa" w:w="70"/>
              <w:right w:type="dxa" w:w="100"/>
            </w:tcMar>
          </w:tcPr>
          <w:p>
            <w:pPr>
              <w:spacing w:after="0" w:line="250"/>
            </w:pPr>
            <w:r>
              <w:rPr>
                <w:color w:val="1A1A1A"/>
                <w:sz w:val="19"/>
                <w:szCs w:val="19"/>
              </w:rPr>
              <w:t xml:space="preserve">XGBoost with scikit-learn preprocessing</w:t>
            </w:r>
          </w:p>
        </w:tc>
        <w:tc>
          <w:tcPr>
            <w:tcW w:type="dxa" w:w="4470"/>
            <w:shd w:fill="F3F6F4" w:color="auto" w:val="clear"/>
            <w:tcMar>
              <w:top w:type="dxa" w:w="70"/>
              <w:left w:type="dxa" w:w="100"/>
              <w:bottom w:type="dxa" w:w="70"/>
              <w:right w:type="dxa" w:w="100"/>
            </w:tcMar>
          </w:tcPr>
          <w:p>
            <w:pPr>
              <w:spacing w:after="0" w:line="250"/>
            </w:pPr>
            <w:r>
              <w:rPr>
                <w:color w:val="1A1A1A"/>
                <w:sz w:val="19"/>
                <w:szCs w:val="19"/>
              </w:rPr>
              <w:t xml:space="preserve">Gradient boosting on 22 engineered behavioural features; SHAP explainer retained for attribution</w:t>
            </w:r>
          </w:p>
        </w:tc>
      </w:tr>
      <w:tr>
        <w:trPr>
          <w:tblHeader w:val="false"/>
        </w:trPr>
        <w:tc>
          <w:tcPr>
            <w:tcW w:type="dxa" w:w="1350"/>
            <w:tcMar>
              <w:top w:type="dxa" w:w="70"/>
              <w:left w:type="dxa" w:w="100"/>
              <w:bottom w:type="dxa" w:w="70"/>
              <w:right w:type="dxa" w:w="100"/>
            </w:tcMar>
          </w:tcPr>
          <w:p>
            <w:pPr>
              <w:spacing w:after="0" w:line="250"/>
            </w:pPr>
            <w:r>
              <w:rPr>
                <w:color w:val="1A1A1A"/>
                <w:sz w:val="19"/>
                <w:szCs w:val="19"/>
              </w:rPr>
              <w:t xml:space="preserve">Novelty model</w:t>
            </w:r>
          </w:p>
        </w:tc>
        <w:tc>
          <w:tcPr>
            <w:tcW w:type="dxa" w:w="3200"/>
            <w:tcMar>
              <w:top w:type="dxa" w:w="70"/>
              <w:left w:type="dxa" w:w="100"/>
              <w:bottom w:type="dxa" w:w="70"/>
              <w:right w:type="dxa" w:w="100"/>
            </w:tcMar>
          </w:tcPr>
          <w:p>
            <w:pPr>
              <w:spacing w:after="0" w:line="250"/>
            </w:pPr>
            <w:r>
              <w:rPr>
                <w:color w:val="1A1A1A"/>
                <w:sz w:val="19"/>
                <w:szCs w:val="19"/>
              </w:rPr>
              <w:t xml:space="preserve">PyTorch autoencoder (8 KB)</w:t>
            </w:r>
          </w:p>
        </w:tc>
        <w:tc>
          <w:tcPr>
            <w:tcW w:type="dxa" w:w="4470"/>
            <w:tcMar>
              <w:top w:type="dxa" w:w="70"/>
              <w:left w:type="dxa" w:w="100"/>
              <w:bottom w:type="dxa" w:w="70"/>
              <w:right w:type="dxa" w:w="100"/>
            </w:tcMar>
          </w:tcPr>
          <w:p>
            <w:pPr>
              <w:spacing w:after="0" w:line="250"/>
            </w:pPr>
            <w:r>
              <w:rPr>
                <w:color w:val="1A1A1A"/>
                <w:sz w:val="19"/>
                <w:szCs w:val="19"/>
              </w:rPr>
              <w:t xml:space="preserve">One-class learning on legitimate data only — flags patterns no rule anticipated</w:t>
            </w:r>
          </w:p>
        </w:tc>
      </w:tr>
      <w:tr>
        <w:trPr>
          <w:tblHeader w:val="false"/>
        </w:trPr>
        <w:tc>
          <w:tcPr>
            <w:tcW w:type="dxa" w:w="1350"/>
            <w:shd w:fill="F3F6F4" w:color="auto" w:val="clear"/>
            <w:tcMar>
              <w:top w:type="dxa" w:w="70"/>
              <w:left w:type="dxa" w:w="100"/>
              <w:bottom w:type="dxa" w:w="70"/>
              <w:right w:type="dxa" w:w="100"/>
            </w:tcMar>
          </w:tcPr>
          <w:p>
            <w:pPr>
              <w:spacing w:after="0" w:line="250"/>
            </w:pPr>
            <w:r>
              <w:rPr>
                <w:color w:val="1A1A1A"/>
                <w:sz w:val="19"/>
                <w:szCs w:val="19"/>
              </w:rPr>
              <w:t xml:space="preserve">Explanations</w:t>
            </w:r>
          </w:p>
        </w:tc>
        <w:tc>
          <w:tcPr>
            <w:tcW w:type="dxa" w:w="3200"/>
            <w:shd w:fill="F3F6F4" w:color="auto" w:val="clear"/>
            <w:tcMar>
              <w:top w:type="dxa" w:w="70"/>
              <w:left w:type="dxa" w:w="100"/>
              <w:bottom w:type="dxa" w:w="70"/>
              <w:right w:type="dxa" w:w="100"/>
            </w:tcMar>
          </w:tcPr>
          <w:p>
            <w:pPr>
              <w:spacing w:after="0" w:line="250"/>
            </w:pPr>
            <w:r>
              <w:rPr>
                <w:color w:val="1A1A1A"/>
                <w:sz w:val="19"/>
                <w:szCs w:val="19"/>
              </w:rPr>
              <w:t xml:space="preserve">Ollama running llama3, on-premise</w:t>
            </w:r>
          </w:p>
        </w:tc>
        <w:tc>
          <w:tcPr>
            <w:tcW w:type="dxa" w:w="4470"/>
            <w:shd w:fill="F3F6F4" w:color="auto" w:val="clear"/>
            <w:tcMar>
              <w:top w:type="dxa" w:w="70"/>
              <w:left w:type="dxa" w:w="100"/>
              <w:bottom w:type="dxa" w:w="70"/>
              <w:right w:type="dxa" w:w="100"/>
            </w:tcMar>
          </w:tcPr>
          <w:p>
            <w:pPr>
              <w:spacing w:after="0" w:line="250"/>
            </w:pPr>
            <w:r>
              <w:rPr>
                <w:color w:val="1A1A1A"/>
                <w:sz w:val="19"/>
                <w:szCs w:val="19"/>
              </w:rPr>
              <w:t xml:space="preserve">Chosen over a hosted API so customer financial data never leaves the bank network</w:t>
            </w:r>
          </w:p>
        </w:tc>
      </w:tr>
      <w:tr>
        <w:trPr>
          <w:tblHeader w:val="false"/>
        </w:trPr>
        <w:tc>
          <w:tcPr>
            <w:tcW w:type="dxa" w:w="1350"/>
            <w:tcMar>
              <w:top w:type="dxa" w:w="70"/>
              <w:left w:type="dxa" w:w="100"/>
              <w:bottom w:type="dxa" w:w="70"/>
              <w:right w:type="dxa" w:w="100"/>
            </w:tcMar>
          </w:tcPr>
          <w:p>
            <w:pPr>
              <w:spacing w:after="0" w:line="250"/>
            </w:pPr>
            <w:r>
              <w:rPr>
                <w:color w:val="1A1A1A"/>
                <w:sz w:val="19"/>
                <w:szCs w:val="19"/>
              </w:rPr>
              <w:t xml:space="preserve">Cryptography</w:t>
            </w:r>
          </w:p>
        </w:tc>
        <w:tc>
          <w:tcPr>
            <w:tcW w:type="dxa" w:w="3200"/>
            <w:tcMar>
              <w:top w:type="dxa" w:w="70"/>
              <w:left w:type="dxa" w:w="100"/>
              <w:bottom w:type="dxa" w:w="70"/>
              <w:right w:type="dxa" w:w="100"/>
            </w:tcMar>
          </w:tcPr>
          <w:p>
            <w:pPr>
              <w:spacing w:after="0" w:line="250"/>
            </w:pPr>
            <w:r>
              <w:rPr>
                <w:color w:val="1A1A1A"/>
                <w:sz w:val="19"/>
                <w:szCs w:val="19"/>
              </w:rPr>
              <w:t xml:space="preserve">Ed25519, SHA-256, bcrypt</w:t>
            </w:r>
          </w:p>
        </w:tc>
        <w:tc>
          <w:tcPr>
            <w:tcW w:type="dxa" w:w="4470"/>
            <w:tcMar>
              <w:top w:type="dxa" w:w="70"/>
              <w:left w:type="dxa" w:w="100"/>
              <w:bottom w:type="dxa" w:w="70"/>
              <w:right w:type="dxa" w:w="100"/>
            </w:tcMar>
          </w:tcPr>
          <w:p>
            <w:pPr>
              <w:spacing w:after="0" w:line="250"/>
            </w:pPr>
            <w:r>
              <w:rPr>
                <w:color w:val="1A1A1A"/>
                <w:sz w:val="19"/>
                <w:szCs w:val="19"/>
              </w:rPr>
              <w:t xml:space="preserve">32-byte keys, fixed 64-byte signatures, deterministic signing — no per-signature nonce to leak</w:t>
            </w:r>
          </w:p>
        </w:tc>
      </w:tr>
      <w:tr>
        <w:trPr>
          <w:tblHeader w:val="false"/>
        </w:trPr>
        <w:tc>
          <w:tcPr>
            <w:tcW w:type="dxa" w:w="1350"/>
            <w:shd w:fill="F3F6F4" w:color="auto" w:val="clear"/>
            <w:tcMar>
              <w:top w:type="dxa" w:w="70"/>
              <w:left w:type="dxa" w:w="100"/>
              <w:bottom w:type="dxa" w:w="70"/>
              <w:right w:type="dxa" w:w="100"/>
            </w:tcMar>
          </w:tcPr>
          <w:p>
            <w:pPr>
              <w:spacing w:after="0" w:line="250"/>
            </w:pPr>
            <w:r>
              <w:rPr>
                <w:color w:val="1A1A1A"/>
                <w:sz w:val="19"/>
                <w:szCs w:val="19"/>
              </w:rPr>
              <w:t xml:space="preserve">Verification</w:t>
            </w:r>
          </w:p>
        </w:tc>
        <w:tc>
          <w:tcPr>
            <w:tcW w:type="dxa" w:w="3200"/>
            <w:shd w:fill="F3F6F4" w:color="auto" w:val="clear"/>
            <w:tcMar>
              <w:top w:type="dxa" w:w="70"/>
              <w:left w:type="dxa" w:w="100"/>
              <w:bottom w:type="dxa" w:w="70"/>
              <w:right w:type="dxa" w:w="100"/>
            </w:tcMar>
          </w:tcPr>
          <w:p>
            <w:pPr>
              <w:spacing w:after="0" w:line="250"/>
            </w:pPr>
            <w:r>
              <w:rPr>
                <w:color w:val="1A1A1A"/>
                <w:sz w:val="19"/>
                <w:szCs w:val="19"/>
              </w:rPr>
              <w:t xml:space="preserve">Bash + curl + Python integration suites</w:t>
            </w:r>
          </w:p>
        </w:tc>
        <w:tc>
          <w:tcPr>
            <w:tcW w:type="dxa" w:w="4470"/>
            <w:shd w:fill="F3F6F4" w:color="auto" w:val="clear"/>
            <w:tcMar>
              <w:top w:type="dxa" w:w="70"/>
              <w:left w:type="dxa" w:w="100"/>
              <w:bottom w:type="dxa" w:w="70"/>
              <w:right w:type="dxa" w:w="100"/>
            </w:tcMar>
          </w:tcPr>
          <w:p>
            <w:pPr>
              <w:spacing w:after="0" w:line="250"/>
            </w:pPr>
            <w:r>
              <w:rPr>
                <w:color w:val="1A1A1A"/>
                <w:sz w:val="19"/>
                <w:szCs w:val="19"/>
              </w:rPr>
              <w:t xml:space="preserve">Run against a live backend rather than mocks, so contract drift is caught</w:t>
            </w:r>
          </w:p>
        </w:tc>
      </w:tr>
    </w:tbl>
    <w:p>
      <w:pPr>
        <w:spacing w:after="160"/>
      </w:pPr>
    </w:p>
    <w:p>
      <w:r>
        <w:br w:type="page"/>
      </w:r>
    </w:p>
    <w:p>
      <w:pPr>
        <w:pStyle w:val="Heading1"/>
        <w:spacing w:after="140" w:before="360"/>
      </w:pPr>
      <w:r>
        <w:t xml:space="preserve">6.  Security engineering</w:t>
      </w:r>
    </w:p>
    <w:p>
      <w:pPr>
        <w:pStyle w:val="Heading3"/>
        <w:spacing w:after="80" w:before="180"/>
      </w:pPr>
      <w:r>
        <w:t xml:space="preserve">6.1  Risk scoring</w:t>
      </w:r>
    </w:p>
    <w:p>
      <w:pPr>
        <w:spacing w:after="120" w:line="276"/>
      </w:pPr>
      <w:r>
        <w:rPr>
          <w:b w:val="false"/>
          <w:bCs w:val="false"/>
          <w:i w:val="false"/>
          <w:iCs w:val="false"/>
          <w:color w:val="1A1A1A"/>
          <w:sz w:val="21"/>
          <w:szCs w:val="21"/>
        </w:rPr>
        <w:t xml:space="preserve">The risk score is a weighted composition of four inputs. The weights are asserted to sum to 1.0 at import time — the application refuses to start if someone edits one and forgets the others.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0"/>
      </w:tblGrid>
      <w:tr>
        <w:trPr>
          <w:tblHeader/>
        </w:trPr>
        <w:tc>
          <w:tcPr>
            <w:tcW w:type="dxa" w:w="3200"/>
            <w:shd w:fill="0B5D3B" w:color="auto" w:val="clear"/>
            <w:tcMar>
              <w:top w:type="dxa" w:w="70"/>
              <w:left w:type="dxa" w:w="100"/>
              <w:bottom w:type="dxa" w:w="70"/>
              <w:right w:type="dxa" w:w="100"/>
            </w:tcMar>
          </w:tcPr>
          <w:p>
            <w:pPr>
              <w:spacing w:after="0" w:line="250"/>
            </w:pPr>
            <w:r>
              <w:rPr>
                <w:b/>
                <w:bCs/>
                <w:color w:val="FFFFFF"/>
                <w:sz w:val="19"/>
                <w:szCs w:val="19"/>
              </w:rPr>
              <w:t xml:space="preserve">Input</w:t>
            </w:r>
          </w:p>
        </w:tc>
        <w:tc>
          <w:tcPr>
            <w:tcW w:type="dxa" w:w="1400"/>
            <w:shd w:fill="0B5D3B" w:color="auto" w:val="clear"/>
            <w:tcMar>
              <w:top w:type="dxa" w:w="70"/>
              <w:left w:type="dxa" w:w="100"/>
              <w:bottom w:type="dxa" w:w="70"/>
              <w:right w:type="dxa" w:w="100"/>
            </w:tcMar>
          </w:tcPr>
          <w:p>
            <w:pPr>
              <w:spacing w:after="0" w:line="250"/>
            </w:pPr>
            <w:r>
              <w:rPr>
                <w:b/>
                <w:bCs/>
                <w:color w:val="FFFFFF"/>
                <w:sz w:val="19"/>
                <w:szCs w:val="19"/>
              </w:rPr>
              <w:t xml:space="preserve">Weight</w:t>
            </w:r>
          </w:p>
        </w:tc>
        <w:tc>
          <w:tcPr>
            <w:tcW w:type="dxa" w:w="4420"/>
            <w:shd w:fill="0B5D3B" w:color="auto" w:val="clear"/>
            <w:tcMar>
              <w:top w:type="dxa" w:w="70"/>
              <w:left w:type="dxa" w:w="100"/>
              <w:bottom w:type="dxa" w:w="70"/>
              <w:right w:type="dxa" w:w="100"/>
            </w:tcMar>
          </w:tcPr>
          <w:p>
            <w:pPr>
              <w:spacing w:after="0" w:line="250"/>
            </w:pPr>
            <w:r>
              <w:rPr>
                <w:b/>
                <w:bCs/>
                <w:color w:val="FFFFFF"/>
                <w:sz w:val="19"/>
                <w:szCs w:val="19"/>
              </w:rPr>
              <w:t xml:space="preserve">Source</w:t>
            </w:r>
          </w:p>
        </w:tc>
      </w:tr>
      <w:tr>
        <w:trPr>
          <w:tblHeader w:val="false"/>
        </w:trPr>
        <w:tc>
          <w:tcPr>
            <w:tcW w:type="dxa" w:w="3200"/>
            <w:tcMar>
              <w:top w:type="dxa" w:w="70"/>
              <w:left w:type="dxa" w:w="100"/>
              <w:bottom w:type="dxa" w:w="70"/>
              <w:right w:type="dxa" w:w="100"/>
            </w:tcMar>
          </w:tcPr>
          <w:p>
            <w:pPr>
              <w:spacing w:after="0" w:line="250"/>
            </w:pPr>
            <w:r>
              <w:rPr>
                <w:color w:val="1A1A1A"/>
                <w:sz w:val="19"/>
                <w:szCs w:val="19"/>
              </w:rPr>
              <w:t xml:space="preserve">AI fraud probability</w:t>
            </w:r>
          </w:p>
        </w:tc>
        <w:tc>
          <w:tcPr>
            <w:tcW w:type="dxa" w:w="1400"/>
            <w:tcMar>
              <w:top w:type="dxa" w:w="70"/>
              <w:left w:type="dxa" w:w="100"/>
              <w:bottom w:type="dxa" w:w="70"/>
              <w:right w:type="dxa" w:w="100"/>
            </w:tcMar>
          </w:tcPr>
          <w:p>
            <w:pPr>
              <w:spacing w:after="0" w:line="250"/>
            </w:pPr>
            <w:r>
              <w:rPr>
                <w:color w:val="1A1A1A"/>
                <w:sz w:val="19"/>
                <w:szCs w:val="19"/>
              </w:rPr>
              <w:t xml:space="preserve">0.35</w:t>
            </w:r>
          </w:p>
        </w:tc>
        <w:tc>
          <w:tcPr>
            <w:tcW w:type="dxa" w:w="4420"/>
            <w:tcMar>
              <w:top w:type="dxa" w:w="70"/>
              <w:left w:type="dxa" w:w="100"/>
              <w:bottom w:type="dxa" w:w="70"/>
              <w:right w:type="dxa" w:w="100"/>
            </w:tcMar>
          </w:tcPr>
          <w:p>
            <w:pPr>
              <w:spacing w:after="0" w:line="250"/>
            </w:pPr>
            <w:r>
              <w:rPr>
                <w:color w:val="1A1A1A"/>
                <w:sz w:val="19"/>
                <w:szCs w:val="19"/>
              </w:rPr>
              <w:t xml:space="preserve">XGBoost classifier over 22 engineered features</w:t>
            </w:r>
          </w:p>
        </w:tc>
      </w:tr>
      <w:tr>
        <w:trPr>
          <w:tblHeader w:val="false"/>
        </w:trPr>
        <w:tc>
          <w:tcPr>
            <w:tcW w:type="dxa" w:w="3200"/>
            <w:shd w:fill="F3F6F4" w:color="auto" w:val="clear"/>
            <w:tcMar>
              <w:top w:type="dxa" w:w="70"/>
              <w:left w:type="dxa" w:w="100"/>
              <w:bottom w:type="dxa" w:w="70"/>
              <w:right w:type="dxa" w:w="100"/>
            </w:tcMar>
          </w:tcPr>
          <w:p>
            <w:pPr>
              <w:spacing w:after="0" w:line="250"/>
            </w:pPr>
            <w:r>
              <w:rPr>
                <w:color w:val="1A1A1A"/>
                <w:sz w:val="19"/>
                <w:szCs w:val="19"/>
              </w:rPr>
              <w:t xml:space="preserve">Behavioural signals</w:t>
            </w:r>
          </w:p>
        </w:tc>
        <w:tc>
          <w:tcPr>
            <w:tcW w:type="dxa" w:w="1400"/>
            <w:shd w:fill="F3F6F4" w:color="auto" w:val="clear"/>
            <w:tcMar>
              <w:top w:type="dxa" w:w="70"/>
              <w:left w:type="dxa" w:w="100"/>
              <w:bottom w:type="dxa" w:w="70"/>
              <w:right w:type="dxa" w:w="100"/>
            </w:tcMar>
          </w:tcPr>
          <w:p>
            <w:pPr>
              <w:spacing w:after="0" w:line="250"/>
            </w:pPr>
            <w:r>
              <w:rPr>
                <w:color w:val="1A1A1A"/>
                <w:sz w:val="19"/>
                <w:szCs w:val="19"/>
              </w:rPr>
              <w:t xml:space="preserve">0.25</w:t>
            </w:r>
          </w:p>
        </w:tc>
        <w:tc>
          <w:tcPr>
            <w:tcW w:type="dxa" w:w="4420"/>
            <w:shd w:fill="F3F6F4" w:color="auto" w:val="clear"/>
            <w:tcMar>
              <w:top w:type="dxa" w:w="70"/>
              <w:left w:type="dxa" w:w="100"/>
              <w:bottom w:type="dxa" w:w="70"/>
              <w:right w:type="dxa" w:w="100"/>
            </w:tcMar>
          </w:tcPr>
          <w:p>
            <w:pPr>
              <w:spacing w:after="0" w:line="250"/>
            </w:pPr>
            <w:r>
              <w:rPr>
                <w:color w:val="1A1A1A"/>
                <w:sz w:val="19"/>
                <w:szCs w:val="19"/>
              </w:rPr>
              <w:t xml:space="preserve">Eight boolean rules, converted to a capped penalty score</w:t>
            </w:r>
          </w:p>
        </w:tc>
      </w:tr>
      <w:tr>
        <w:trPr>
          <w:tblHeader w:val="false"/>
        </w:trPr>
        <w:tc>
          <w:tcPr>
            <w:tcW w:type="dxa" w:w="3200"/>
            <w:tcMar>
              <w:top w:type="dxa" w:w="70"/>
              <w:left w:type="dxa" w:w="100"/>
              <w:bottom w:type="dxa" w:w="70"/>
              <w:right w:type="dxa" w:w="100"/>
            </w:tcMar>
          </w:tcPr>
          <w:p>
            <w:pPr>
              <w:spacing w:after="0" w:line="250"/>
            </w:pPr>
            <w:r>
              <w:rPr>
                <w:color w:val="1A1A1A"/>
                <w:sz w:val="19"/>
                <w:szCs w:val="19"/>
              </w:rPr>
              <w:t xml:space="preserve">Device trust</w:t>
            </w:r>
          </w:p>
        </w:tc>
        <w:tc>
          <w:tcPr>
            <w:tcW w:type="dxa" w:w="1400"/>
            <w:tcMar>
              <w:top w:type="dxa" w:w="70"/>
              <w:left w:type="dxa" w:w="100"/>
              <w:bottom w:type="dxa" w:w="70"/>
              <w:right w:type="dxa" w:w="100"/>
            </w:tcMar>
          </w:tcPr>
          <w:p>
            <w:pPr>
              <w:spacing w:after="0" w:line="250"/>
            </w:pPr>
            <w:r>
              <w:rPr>
                <w:color w:val="1A1A1A"/>
                <w:sz w:val="19"/>
                <w:szCs w:val="19"/>
              </w:rPr>
              <w:t xml:space="preserve">0.25</w:t>
            </w:r>
          </w:p>
        </w:tc>
        <w:tc>
          <w:tcPr>
            <w:tcW w:type="dxa" w:w="4420"/>
            <w:tcMar>
              <w:top w:type="dxa" w:w="70"/>
              <w:left w:type="dxa" w:w="100"/>
              <w:bottom w:type="dxa" w:w="70"/>
              <w:right w:type="dxa" w:w="100"/>
            </w:tcMar>
          </w:tcPr>
          <w:p>
            <w:pPr>
              <w:spacing w:after="0" w:line="250"/>
            </w:pPr>
            <w:r>
              <w:rPr>
                <w:color w:val="1A1A1A"/>
                <w:sz w:val="19"/>
                <w:szCs w:val="19"/>
              </w:rPr>
              <w:t xml:space="preserve">Device status penalty modified by a confidence factor</w:t>
            </w:r>
          </w:p>
        </w:tc>
      </w:tr>
      <w:tr>
        <w:trPr>
          <w:tblHeader w:val="false"/>
        </w:trPr>
        <w:tc>
          <w:tcPr>
            <w:tcW w:type="dxa" w:w="3200"/>
            <w:shd w:fill="F3F6F4" w:color="auto" w:val="clear"/>
            <w:tcMar>
              <w:top w:type="dxa" w:w="70"/>
              <w:left w:type="dxa" w:w="100"/>
              <w:bottom w:type="dxa" w:w="70"/>
              <w:right w:type="dxa" w:w="100"/>
            </w:tcMar>
          </w:tcPr>
          <w:p>
            <w:pPr>
              <w:spacing w:after="0" w:line="250"/>
            </w:pPr>
            <w:r>
              <w:rPr>
                <w:color w:val="1A1A1A"/>
                <w:sz w:val="19"/>
                <w:szCs w:val="19"/>
              </w:rPr>
              <w:t xml:space="preserve">Environmental</w:t>
            </w:r>
          </w:p>
        </w:tc>
        <w:tc>
          <w:tcPr>
            <w:tcW w:type="dxa" w:w="1400"/>
            <w:shd w:fill="F3F6F4" w:color="auto" w:val="clear"/>
            <w:tcMar>
              <w:top w:type="dxa" w:w="70"/>
              <w:left w:type="dxa" w:w="100"/>
              <w:bottom w:type="dxa" w:w="70"/>
              <w:right w:type="dxa" w:w="100"/>
            </w:tcMar>
          </w:tcPr>
          <w:p>
            <w:pPr>
              <w:spacing w:after="0" w:line="250"/>
            </w:pPr>
            <w:r>
              <w:rPr>
                <w:color w:val="1A1A1A"/>
                <w:sz w:val="19"/>
                <w:szCs w:val="19"/>
              </w:rPr>
              <w:t xml:space="preserve">0.15</w:t>
            </w:r>
          </w:p>
        </w:tc>
        <w:tc>
          <w:tcPr>
            <w:tcW w:type="dxa" w:w="4420"/>
            <w:shd w:fill="F3F6F4" w:color="auto" w:val="clear"/>
            <w:tcMar>
              <w:top w:type="dxa" w:w="70"/>
              <w:left w:type="dxa" w:w="100"/>
              <w:bottom w:type="dxa" w:w="70"/>
              <w:right w:type="dxa" w:w="100"/>
            </w:tcMar>
          </w:tcPr>
          <w:p>
            <w:pPr>
              <w:spacing w:after="0" w:line="250"/>
            </w:pPr>
            <w:r>
              <w:rPr>
                <w:color w:val="1A1A1A"/>
                <w:sz w:val="19"/>
                <w:szCs w:val="19"/>
              </w:rPr>
              <w:t xml:space="preserve">IP region versus last login region, time since last login, network type</w:t>
            </w:r>
          </w:p>
        </w:tc>
      </w:tr>
    </w:tbl>
    <w:p>
      <w:pPr>
        <w:spacing w:after="160"/>
      </w:pPr>
    </w:p>
    <w:p>
      <w:pPr>
        <w:pStyle w:val="Heading3"/>
        <w:spacing w:after="80" w:before="180"/>
      </w:pPr>
      <w:r>
        <w:t xml:space="preserve">6.2  Behavioural signals</w:t>
      </w:r>
    </w:p>
    <w:p>
      <w:pPr>
        <w:spacing w:after="120" w:line="276"/>
      </w:pPr>
      <w:r>
        <w:rPr>
          <w:b w:val="false"/>
          <w:bCs w:val="false"/>
          <w:i w:val="false"/>
          <w:iCs w:val="false"/>
          <w:color w:val="1A1A1A"/>
          <w:sz w:val="21"/>
          <w:szCs w:val="21"/>
        </w:rPr>
        <w:t xml:space="preserve">Every threshold is derived from the individual customer's own 90-day history. There is no fixed rupee limit anywhere in the system, which is why one customer's ₹95,000 is challenged while another's ₹90,000 passes.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3600"/>
        <w:gridCol w:w="2020"/>
      </w:tblGrid>
      <w:tr>
        <w:trPr>
          <w:tblHeader/>
        </w:trPr>
        <w:tc>
          <w:tcPr>
            <w:tcW w:type="dxa" w:w="2500"/>
            <w:shd w:fill="0B5D3B" w:color="auto" w:val="clear"/>
            <w:tcMar>
              <w:top w:type="dxa" w:w="70"/>
              <w:left w:type="dxa" w:w="100"/>
              <w:bottom w:type="dxa" w:w="70"/>
              <w:right w:type="dxa" w:w="100"/>
            </w:tcMar>
          </w:tcPr>
          <w:p>
            <w:pPr>
              <w:spacing w:after="0" w:line="250"/>
            </w:pPr>
            <w:r>
              <w:rPr>
                <w:b/>
                <w:bCs/>
                <w:color w:val="FFFFFF"/>
                <w:sz w:val="19"/>
                <w:szCs w:val="19"/>
              </w:rPr>
              <w:t xml:space="preserve">Signal</w:t>
            </w:r>
          </w:p>
        </w:tc>
        <w:tc>
          <w:tcPr>
            <w:tcW w:type="dxa" w:w="900"/>
            <w:shd w:fill="0B5D3B" w:color="auto" w:val="clear"/>
            <w:tcMar>
              <w:top w:type="dxa" w:w="70"/>
              <w:left w:type="dxa" w:w="100"/>
              <w:bottom w:type="dxa" w:w="70"/>
              <w:right w:type="dxa" w:w="100"/>
            </w:tcMar>
          </w:tcPr>
          <w:p>
            <w:pPr>
              <w:spacing w:after="0" w:line="250"/>
            </w:pPr>
            <w:r>
              <w:rPr>
                <w:b/>
                <w:bCs/>
                <w:color w:val="FFFFFF"/>
                <w:sz w:val="19"/>
                <w:szCs w:val="19"/>
              </w:rPr>
              <w:t xml:space="preserve">Penalty</w:t>
            </w:r>
          </w:p>
        </w:tc>
        <w:tc>
          <w:tcPr>
            <w:tcW w:type="dxa" w:w="3600"/>
            <w:shd w:fill="0B5D3B" w:color="auto" w:val="clear"/>
            <w:tcMar>
              <w:top w:type="dxa" w:w="70"/>
              <w:left w:type="dxa" w:w="100"/>
              <w:bottom w:type="dxa" w:w="70"/>
              <w:right w:type="dxa" w:w="100"/>
            </w:tcMar>
          </w:tcPr>
          <w:p>
            <w:pPr>
              <w:spacing w:after="0" w:line="250"/>
            </w:pPr>
            <w:r>
              <w:rPr>
                <w:b/>
                <w:bCs/>
                <w:color w:val="FFFFFF"/>
                <w:sz w:val="19"/>
                <w:szCs w:val="19"/>
              </w:rPr>
              <w:t xml:space="preserve">Trigger</w:t>
            </w:r>
          </w:p>
        </w:tc>
        <w:tc>
          <w:tcPr>
            <w:tcW w:type="dxa" w:w="2020"/>
            <w:shd w:fill="0B5D3B" w:color="auto" w:val="clear"/>
            <w:tcMar>
              <w:top w:type="dxa" w:w="70"/>
              <w:left w:type="dxa" w:w="100"/>
              <w:bottom w:type="dxa" w:w="70"/>
              <w:right w:type="dxa" w:w="100"/>
            </w:tcMar>
          </w:tcPr>
          <w:p>
            <w:pPr>
              <w:spacing w:after="0" w:line="250"/>
            </w:pPr>
            <w:r>
              <w:rPr>
                <w:b/>
                <w:bCs/>
                <w:color w:val="FFFFFF"/>
                <w:sz w:val="19"/>
                <w:szCs w:val="19"/>
              </w:rPr>
              <w:t xml:space="preserve">Basis</w:t>
            </w:r>
          </w:p>
        </w:tc>
      </w:tr>
      <w:tr>
        <w:trPr>
          <w:tblHeader w:val="false"/>
        </w:trPr>
        <w:tc>
          <w:tcPr>
            <w:tcW w:type="dxa" w:w="2500"/>
            <w:tcMar>
              <w:top w:type="dxa" w:w="70"/>
              <w:left w:type="dxa" w:w="100"/>
              <w:bottom w:type="dxa" w:w="70"/>
              <w:right w:type="dxa" w:w="100"/>
            </w:tcMar>
          </w:tcPr>
          <w:p>
            <w:pPr>
              <w:spacing w:after="0" w:line="250"/>
            </w:pPr>
            <w:r>
              <w:rPr>
                <w:color w:val="1A1A1A"/>
                <w:sz w:val="19"/>
                <w:szCs w:val="19"/>
              </w:rPr>
              <w:t xml:space="preserve">extreme_amount_spike</w:t>
            </w:r>
          </w:p>
        </w:tc>
        <w:tc>
          <w:tcPr>
            <w:tcW w:type="dxa" w:w="900"/>
            <w:tcMar>
              <w:top w:type="dxa" w:w="70"/>
              <w:left w:type="dxa" w:w="100"/>
              <w:bottom w:type="dxa" w:w="70"/>
              <w:right w:type="dxa" w:w="100"/>
            </w:tcMar>
          </w:tcPr>
          <w:p>
            <w:pPr>
              <w:spacing w:after="0" w:line="250"/>
            </w:pPr>
            <w:r>
              <w:rPr>
                <w:color w:val="1A1A1A"/>
                <w:sz w:val="19"/>
                <w:szCs w:val="19"/>
              </w:rPr>
              <w:t xml:space="preserve">80</w:t>
            </w:r>
          </w:p>
        </w:tc>
        <w:tc>
          <w:tcPr>
            <w:tcW w:type="dxa" w:w="3600"/>
            <w:tcMar>
              <w:top w:type="dxa" w:w="70"/>
              <w:left w:type="dxa" w:w="100"/>
              <w:bottom w:type="dxa" w:w="70"/>
              <w:right w:type="dxa" w:w="100"/>
            </w:tcMar>
          </w:tcPr>
          <w:p>
            <w:pPr>
              <w:spacing w:after="0" w:line="250"/>
            </w:pPr>
            <w:r>
              <w:rPr>
                <w:color w:val="1A1A1A"/>
                <w:sz w:val="19"/>
                <w:szCs w:val="19"/>
              </w:rPr>
              <w:t xml:space="preserve">More than 10× the customer's 90-day median</w:t>
            </w:r>
          </w:p>
        </w:tc>
        <w:tc>
          <w:tcPr>
            <w:tcW w:type="dxa" w:w="2020"/>
            <w:tcMar>
              <w:top w:type="dxa" w:w="70"/>
              <w:left w:type="dxa" w:w="100"/>
              <w:bottom w:type="dxa" w:w="70"/>
              <w:right w:type="dxa" w:w="100"/>
            </w:tcMar>
          </w:tcPr>
          <w:p>
            <w:pPr>
              <w:spacing w:after="0" w:line="250"/>
            </w:pPr>
            <w:r>
              <w:rPr>
                <w:color w:val="1A1A1A"/>
                <w:sz w:val="19"/>
                <w:szCs w:val="19"/>
              </w:rPr>
              <w:t xml:space="preserve">Outlier policy</w:t>
            </w:r>
          </w:p>
        </w:tc>
      </w:tr>
      <w:tr>
        <w:trPr>
          <w:tblHeader w:val="false"/>
        </w:trPr>
        <w:tc>
          <w:tcPr>
            <w:tcW w:type="dxa" w:w="2500"/>
            <w:shd w:fill="F3F6F4" w:color="auto" w:val="clear"/>
            <w:tcMar>
              <w:top w:type="dxa" w:w="70"/>
              <w:left w:type="dxa" w:w="100"/>
              <w:bottom w:type="dxa" w:w="70"/>
              <w:right w:type="dxa" w:w="100"/>
            </w:tcMar>
          </w:tcPr>
          <w:p>
            <w:pPr>
              <w:spacing w:after="0" w:line="250"/>
            </w:pPr>
            <w:r>
              <w:rPr>
                <w:color w:val="1A1A1A"/>
                <w:sz w:val="19"/>
                <w:szCs w:val="19"/>
              </w:rPr>
              <w:t xml:space="preserve">otp_distress</w:t>
            </w:r>
          </w:p>
        </w:tc>
        <w:tc>
          <w:tcPr>
            <w:tcW w:type="dxa" w:w="900"/>
            <w:shd w:fill="F3F6F4" w:color="auto" w:val="clear"/>
            <w:tcMar>
              <w:top w:type="dxa" w:w="70"/>
              <w:left w:type="dxa" w:w="100"/>
              <w:bottom w:type="dxa" w:w="70"/>
              <w:right w:type="dxa" w:w="100"/>
            </w:tcMar>
          </w:tcPr>
          <w:p>
            <w:pPr>
              <w:spacing w:after="0" w:line="250"/>
            </w:pPr>
            <w:r>
              <w:rPr>
                <w:color w:val="1A1A1A"/>
                <w:sz w:val="19"/>
                <w:szCs w:val="19"/>
              </w:rPr>
              <w:t xml:space="preserve">60</w:t>
            </w:r>
          </w:p>
        </w:tc>
        <w:tc>
          <w:tcPr>
            <w:tcW w:type="dxa" w:w="3600"/>
            <w:shd w:fill="F3F6F4" w:color="auto" w:val="clear"/>
            <w:tcMar>
              <w:top w:type="dxa" w:w="70"/>
              <w:left w:type="dxa" w:w="100"/>
              <w:bottom w:type="dxa" w:w="70"/>
              <w:right w:type="dxa" w:w="100"/>
            </w:tcMar>
          </w:tcPr>
          <w:p>
            <w:pPr>
              <w:spacing w:after="0" w:line="250"/>
            </w:pPr>
            <w:r>
              <w:rPr>
                <w:color w:val="1A1A1A"/>
                <w:sz w:val="19"/>
                <w:szCs w:val="19"/>
              </w:rPr>
              <w:t xml:space="preserve">OTP entered in under 2.5 seconds — bot or coercion</w:t>
            </w:r>
          </w:p>
        </w:tc>
        <w:tc>
          <w:tcPr>
            <w:tcW w:type="dxa" w:w="2020"/>
            <w:shd w:fill="F3F6F4" w:color="auto" w:val="clear"/>
            <w:tcMar>
              <w:top w:type="dxa" w:w="70"/>
              <w:left w:type="dxa" w:w="100"/>
              <w:bottom w:type="dxa" w:w="70"/>
              <w:right w:type="dxa" w:w="100"/>
            </w:tcMar>
          </w:tcPr>
          <w:p>
            <w:pPr>
              <w:spacing w:after="0" w:line="250"/>
            </w:pPr>
            <w:r>
              <w:rPr>
                <w:color w:val="1A1A1A"/>
                <w:sz w:val="19"/>
                <w:szCs w:val="19"/>
              </w:rPr>
              <w:t xml:space="preserve">NIST SP 800-63B</w:t>
            </w:r>
          </w:p>
        </w:tc>
      </w:tr>
      <w:tr>
        <w:trPr>
          <w:tblHeader w:val="false"/>
        </w:trPr>
        <w:tc>
          <w:tcPr>
            <w:tcW w:type="dxa" w:w="2500"/>
            <w:tcMar>
              <w:top w:type="dxa" w:w="70"/>
              <w:left w:type="dxa" w:w="100"/>
              <w:bottom w:type="dxa" w:w="70"/>
              <w:right w:type="dxa" w:w="100"/>
            </w:tcMar>
          </w:tcPr>
          <w:p>
            <w:pPr>
              <w:spacing w:after="0" w:line="250"/>
            </w:pPr>
            <w:r>
              <w:rPr>
                <w:color w:val="1A1A1A"/>
                <w:sz w:val="19"/>
                <w:szCs w:val="19"/>
              </w:rPr>
              <w:t xml:space="preserve">velocity_burst</w:t>
            </w:r>
          </w:p>
        </w:tc>
        <w:tc>
          <w:tcPr>
            <w:tcW w:type="dxa" w:w="900"/>
            <w:tcMar>
              <w:top w:type="dxa" w:w="70"/>
              <w:left w:type="dxa" w:w="100"/>
              <w:bottom w:type="dxa" w:w="70"/>
              <w:right w:type="dxa" w:w="100"/>
            </w:tcMar>
          </w:tcPr>
          <w:p>
            <w:pPr>
              <w:spacing w:after="0" w:line="250"/>
            </w:pPr>
            <w:r>
              <w:rPr>
                <w:color w:val="1A1A1A"/>
                <w:sz w:val="19"/>
                <w:szCs w:val="19"/>
              </w:rPr>
              <w:t xml:space="preserve">50</w:t>
            </w:r>
          </w:p>
        </w:tc>
        <w:tc>
          <w:tcPr>
            <w:tcW w:type="dxa" w:w="3600"/>
            <w:tcMar>
              <w:top w:type="dxa" w:w="70"/>
              <w:left w:type="dxa" w:w="100"/>
              <w:bottom w:type="dxa" w:w="70"/>
              <w:right w:type="dxa" w:w="100"/>
            </w:tcMar>
          </w:tcPr>
          <w:p>
            <w:pPr>
              <w:spacing w:after="0" w:line="250"/>
            </w:pPr>
            <w:r>
              <w:rPr>
                <w:color w:val="1A1A1A"/>
                <w:sz w:val="19"/>
                <w:szCs w:val="19"/>
              </w:rPr>
              <w:t xml:space="preserve">Three or more transactions inside five minutes</w:t>
            </w:r>
          </w:p>
        </w:tc>
        <w:tc>
          <w:tcPr>
            <w:tcW w:type="dxa" w:w="2020"/>
            <w:tcMar>
              <w:top w:type="dxa" w:w="70"/>
              <w:left w:type="dxa" w:w="100"/>
              <w:bottom w:type="dxa" w:w="70"/>
              <w:right w:type="dxa" w:w="100"/>
            </w:tcMar>
          </w:tcPr>
          <w:p>
            <w:pPr>
              <w:spacing w:after="0" w:line="250"/>
            </w:pPr>
            <w:r>
              <w:rPr>
                <w:color w:val="1A1A1A"/>
                <w:sz w:val="19"/>
                <w:szCs w:val="19"/>
              </w:rPr>
              <w:t xml:space="preserve">RBI velocity ceiling</w:t>
            </w:r>
          </w:p>
        </w:tc>
      </w:tr>
      <w:tr>
        <w:trPr>
          <w:tblHeader w:val="false"/>
        </w:trPr>
        <w:tc>
          <w:tcPr>
            <w:tcW w:type="dxa" w:w="2500"/>
            <w:shd w:fill="F3F6F4" w:color="auto" w:val="clear"/>
            <w:tcMar>
              <w:top w:type="dxa" w:w="70"/>
              <w:left w:type="dxa" w:w="100"/>
              <w:bottom w:type="dxa" w:w="70"/>
              <w:right w:type="dxa" w:w="100"/>
            </w:tcMar>
          </w:tcPr>
          <w:p>
            <w:pPr>
              <w:spacing w:after="0" w:line="250"/>
            </w:pPr>
            <w:r>
              <w:rPr>
                <w:color w:val="1A1A1A"/>
                <w:sz w:val="19"/>
                <w:szCs w:val="19"/>
              </w:rPr>
              <w:t xml:space="preserve">round_number_anomaly</w:t>
            </w:r>
          </w:p>
        </w:tc>
        <w:tc>
          <w:tcPr>
            <w:tcW w:type="dxa" w:w="900"/>
            <w:shd w:fill="F3F6F4" w:color="auto" w:val="clear"/>
            <w:tcMar>
              <w:top w:type="dxa" w:w="70"/>
              <w:left w:type="dxa" w:w="100"/>
              <w:bottom w:type="dxa" w:w="70"/>
              <w:right w:type="dxa" w:w="100"/>
            </w:tcMar>
          </w:tcPr>
          <w:p>
            <w:pPr>
              <w:spacing w:after="0" w:line="250"/>
            </w:pPr>
            <w:r>
              <w:rPr>
                <w:color w:val="1A1A1A"/>
                <w:sz w:val="19"/>
                <w:szCs w:val="19"/>
              </w:rPr>
              <w:t xml:space="preserve">45</w:t>
            </w:r>
          </w:p>
        </w:tc>
        <w:tc>
          <w:tcPr>
            <w:tcW w:type="dxa" w:w="3600"/>
            <w:shd w:fill="F3F6F4" w:color="auto" w:val="clear"/>
            <w:tcMar>
              <w:top w:type="dxa" w:w="70"/>
              <w:left w:type="dxa" w:w="100"/>
              <w:bottom w:type="dxa" w:w="70"/>
              <w:right w:type="dxa" w:w="100"/>
            </w:tcMar>
          </w:tcPr>
          <w:p>
            <w:pPr>
              <w:spacing w:after="0" w:line="250"/>
            </w:pPr>
            <w:r>
              <w:rPr>
                <w:color w:val="1A1A1A"/>
                <w:sz w:val="19"/>
                <w:szCs w:val="19"/>
              </w:rPr>
              <w:t xml:space="preserve">Round-amount share above 35% (baseline 15%)</w:t>
            </w:r>
          </w:p>
        </w:tc>
        <w:tc>
          <w:tcPr>
            <w:tcW w:type="dxa" w:w="2020"/>
            <w:shd w:fill="F3F6F4" w:color="auto" w:val="clear"/>
            <w:tcMar>
              <w:top w:type="dxa" w:w="70"/>
              <w:left w:type="dxa" w:w="100"/>
              <w:bottom w:type="dxa" w:w="70"/>
              <w:right w:type="dxa" w:w="100"/>
            </w:tcMar>
          </w:tcPr>
          <w:p>
            <w:pPr>
              <w:spacing w:after="0" w:line="250"/>
            </w:pPr>
            <w:r>
              <w:rPr>
                <w:color w:val="1A1A1A"/>
                <w:sz w:val="19"/>
                <w:szCs w:val="19"/>
              </w:rPr>
              <w:t xml:space="preserve">Benford / FATF Rec. 16</w:t>
            </w:r>
          </w:p>
        </w:tc>
      </w:tr>
      <w:tr>
        <w:trPr>
          <w:tblHeader w:val="false"/>
        </w:trPr>
        <w:tc>
          <w:tcPr>
            <w:tcW w:type="dxa" w:w="2500"/>
            <w:tcMar>
              <w:top w:type="dxa" w:w="70"/>
              <w:left w:type="dxa" w:w="100"/>
              <w:bottom w:type="dxa" w:w="70"/>
              <w:right w:type="dxa" w:w="100"/>
            </w:tcMar>
          </w:tcPr>
          <w:p>
            <w:pPr>
              <w:spacing w:after="0" w:line="250"/>
            </w:pPr>
            <w:r>
              <w:rPr>
                <w:color w:val="1A1A1A"/>
                <w:sz w:val="19"/>
                <w:szCs w:val="19"/>
              </w:rPr>
              <w:t xml:space="preserve">amount_spike</w:t>
            </w:r>
          </w:p>
        </w:tc>
        <w:tc>
          <w:tcPr>
            <w:tcW w:type="dxa" w:w="900"/>
            <w:tcMar>
              <w:top w:type="dxa" w:w="70"/>
              <w:left w:type="dxa" w:w="100"/>
              <w:bottom w:type="dxa" w:w="70"/>
              <w:right w:type="dxa" w:w="100"/>
            </w:tcMar>
          </w:tcPr>
          <w:p>
            <w:pPr>
              <w:spacing w:after="0" w:line="250"/>
            </w:pPr>
            <w:r>
              <w:rPr>
                <w:color w:val="1A1A1A"/>
                <w:sz w:val="19"/>
                <w:szCs w:val="19"/>
              </w:rPr>
              <w:t xml:space="preserve">40</w:t>
            </w:r>
          </w:p>
        </w:tc>
        <w:tc>
          <w:tcPr>
            <w:tcW w:type="dxa" w:w="3600"/>
            <w:tcMar>
              <w:top w:type="dxa" w:w="70"/>
              <w:left w:type="dxa" w:w="100"/>
              <w:bottom w:type="dxa" w:w="70"/>
              <w:right w:type="dxa" w:w="100"/>
            </w:tcMar>
          </w:tcPr>
          <w:p>
            <w:pPr>
              <w:spacing w:after="0" w:line="250"/>
            </w:pPr>
            <w:r>
              <w:rPr>
                <w:color w:val="1A1A1A"/>
                <w:sz w:val="19"/>
                <w:szCs w:val="19"/>
              </w:rPr>
              <w:t xml:space="preserve">Above mean + 3σ, or more than 3× the 90-day median</w:t>
            </w:r>
          </w:p>
        </w:tc>
        <w:tc>
          <w:tcPr>
            <w:tcW w:type="dxa" w:w="2020"/>
            <w:tcMar>
              <w:top w:type="dxa" w:w="70"/>
              <w:left w:type="dxa" w:w="100"/>
              <w:bottom w:type="dxa" w:w="70"/>
              <w:right w:type="dxa" w:w="100"/>
            </w:tcMar>
          </w:tcPr>
          <w:p>
            <w:pPr>
              <w:spacing w:after="0" w:line="250"/>
            </w:pPr>
            <w:r>
              <w:rPr>
                <w:color w:val="1A1A1A"/>
                <w:sz w:val="19"/>
                <w:szCs w:val="19"/>
              </w:rPr>
              <w:t xml:space="preserve">Per-customer z-score</w:t>
            </w:r>
          </w:p>
        </w:tc>
      </w:tr>
      <w:tr>
        <w:trPr>
          <w:tblHeader w:val="false"/>
        </w:trPr>
        <w:tc>
          <w:tcPr>
            <w:tcW w:type="dxa" w:w="2500"/>
            <w:shd w:fill="F3F6F4" w:color="auto" w:val="clear"/>
            <w:tcMar>
              <w:top w:type="dxa" w:w="70"/>
              <w:left w:type="dxa" w:w="100"/>
              <w:bottom w:type="dxa" w:w="70"/>
              <w:right w:type="dxa" w:w="100"/>
            </w:tcMar>
          </w:tcPr>
          <w:p>
            <w:pPr>
              <w:spacing w:after="0" w:line="250"/>
            </w:pPr>
            <w:r>
              <w:rPr>
                <w:color w:val="1A1A1A"/>
                <w:sz w:val="19"/>
                <w:szCs w:val="19"/>
              </w:rPr>
              <w:t xml:space="preserve">otp_relay</w:t>
            </w:r>
          </w:p>
        </w:tc>
        <w:tc>
          <w:tcPr>
            <w:tcW w:type="dxa" w:w="900"/>
            <w:shd w:fill="F3F6F4" w:color="auto" w:val="clear"/>
            <w:tcMar>
              <w:top w:type="dxa" w:w="70"/>
              <w:left w:type="dxa" w:w="100"/>
              <w:bottom w:type="dxa" w:w="70"/>
              <w:right w:type="dxa" w:w="100"/>
            </w:tcMar>
          </w:tcPr>
          <w:p>
            <w:pPr>
              <w:spacing w:after="0" w:line="250"/>
            </w:pPr>
            <w:r>
              <w:rPr>
                <w:color w:val="1A1A1A"/>
                <w:sz w:val="19"/>
                <w:szCs w:val="19"/>
              </w:rPr>
              <w:t xml:space="preserve">40</w:t>
            </w:r>
          </w:p>
        </w:tc>
        <w:tc>
          <w:tcPr>
            <w:tcW w:type="dxa" w:w="3600"/>
            <w:shd w:fill="F3F6F4" w:color="auto" w:val="clear"/>
            <w:tcMar>
              <w:top w:type="dxa" w:w="70"/>
              <w:left w:type="dxa" w:w="100"/>
              <w:bottom w:type="dxa" w:w="70"/>
              <w:right w:type="dxa" w:w="100"/>
            </w:tcMar>
          </w:tcPr>
          <w:p>
            <w:pPr>
              <w:spacing w:after="0" w:line="250"/>
            </w:pPr>
            <w:r>
              <w:rPr>
                <w:color w:val="1A1A1A"/>
                <w:sz w:val="19"/>
                <w:szCs w:val="19"/>
              </w:rPr>
              <w:t xml:space="preserve">OTP entered after more than 60 seconds — relay attack</w:t>
            </w:r>
          </w:p>
        </w:tc>
        <w:tc>
          <w:tcPr>
            <w:tcW w:type="dxa" w:w="2020"/>
            <w:shd w:fill="F3F6F4" w:color="auto" w:val="clear"/>
            <w:tcMar>
              <w:top w:type="dxa" w:w="70"/>
              <w:left w:type="dxa" w:w="100"/>
              <w:bottom w:type="dxa" w:w="70"/>
              <w:right w:type="dxa" w:w="100"/>
            </w:tcMar>
          </w:tcPr>
          <w:p>
            <w:pPr>
              <w:spacing w:after="0" w:line="250"/>
            </w:pPr>
            <w:r>
              <w:rPr>
                <w:color w:val="1A1A1A"/>
                <w:sz w:val="19"/>
                <w:szCs w:val="19"/>
              </w:rPr>
              <w:t xml:space="preserve">NIST SP 800-63B</w:t>
            </w:r>
          </w:p>
        </w:tc>
      </w:tr>
      <w:tr>
        <w:trPr>
          <w:tblHeader w:val="false"/>
        </w:trPr>
        <w:tc>
          <w:tcPr>
            <w:tcW w:type="dxa" w:w="2500"/>
            <w:tcMar>
              <w:top w:type="dxa" w:w="70"/>
              <w:left w:type="dxa" w:w="100"/>
              <w:bottom w:type="dxa" w:w="70"/>
              <w:right w:type="dxa" w:w="100"/>
            </w:tcMar>
          </w:tcPr>
          <w:p>
            <w:pPr>
              <w:spacing w:after="0" w:line="250"/>
            </w:pPr>
            <w:r>
              <w:rPr>
                <w:color w:val="1A1A1A"/>
                <w:sz w:val="19"/>
                <w:szCs w:val="19"/>
              </w:rPr>
              <w:t xml:space="preserve">night_owl</w:t>
            </w:r>
          </w:p>
        </w:tc>
        <w:tc>
          <w:tcPr>
            <w:tcW w:type="dxa" w:w="900"/>
            <w:tcMar>
              <w:top w:type="dxa" w:w="70"/>
              <w:left w:type="dxa" w:w="100"/>
              <w:bottom w:type="dxa" w:w="70"/>
              <w:right w:type="dxa" w:w="100"/>
            </w:tcMar>
          </w:tcPr>
          <w:p>
            <w:pPr>
              <w:spacing w:after="0" w:line="250"/>
            </w:pPr>
            <w:r>
              <w:rPr>
                <w:color w:val="1A1A1A"/>
                <w:sz w:val="19"/>
                <w:szCs w:val="19"/>
              </w:rPr>
              <w:t xml:space="preserve">25</w:t>
            </w:r>
          </w:p>
        </w:tc>
        <w:tc>
          <w:tcPr>
            <w:tcW w:type="dxa" w:w="3600"/>
            <w:tcMar>
              <w:top w:type="dxa" w:w="70"/>
              <w:left w:type="dxa" w:w="100"/>
              <w:bottom w:type="dxa" w:w="70"/>
              <w:right w:type="dxa" w:w="100"/>
            </w:tcMar>
          </w:tcPr>
          <w:p>
            <w:pPr>
              <w:spacing w:after="0" w:line="250"/>
            </w:pPr>
            <w:r>
              <w:rPr>
                <w:color w:val="1A1A1A"/>
                <w:sz w:val="19"/>
                <w:szCs w:val="19"/>
              </w:rPr>
              <w:t xml:space="preserve">Between 23:01 and 05:59 IST</w:t>
            </w:r>
          </w:p>
        </w:tc>
        <w:tc>
          <w:tcPr>
            <w:tcW w:type="dxa" w:w="2020"/>
            <w:tcMar>
              <w:top w:type="dxa" w:w="70"/>
              <w:left w:type="dxa" w:w="100"/>
              <w:bottom w:type="dxa" w:w="70"/>
              <w:right w:type="dxa" w:w="100"/>
            </w:tcMar>
          </w:tcPr>
          <w:p>
            <w:pPr>
              <w:spacing w:after="0" w:line="250"/>
            </w:pPr>
            <w:r>
              <w:rPr>
                <w:color w:val="1A1A1A"/>
                <w:sz w:val="19"/>
                <w:szCs w:val="19"/>
              </w:rPr>
              <w:t xml:space="preserve">RBI 2025-26/219</w:t>
            </w:r>
          </w:p>
        </w:tc>
      </w:tr>
      <w:tr>
        <w:trPr>
          <w:tblHeader w:val="false"/>
        </w:trPr>
        <w:tc>
          <w:tcPr>
            <w:tcW w:type="dxa" w:w="2500"/>
            <w:shd w:fill="F3F6F4" w:color="auto" w:val="clear"/>
            <w:tcMar>
              <w:top w:type="dxa" w:w="70"/>
              <w:left w:type="dxa" w:w="100"/>
              <w:bottom w:type="dxa" w:w="70"/>
              <w:right w:type="dxa" w:w="100"/>
            </w:tcMar>
          </w:tcPr>
          <w:p>
            <w:pPr>
              <w:spacing w:after="0" w:line="250"/>
            </w:pPr>
            <w:r>
              <w:rPr>
                <w:color w:val="1A1A1A"/>
                <w:sz w:val="19"/>
                <w:szCs w:val="19"/>
              </w:rPr>
              <w:t xml:space="preserve">new_recipient</w:t>
            </w:r>
          </w:p>
        </w:tc>
        <w:tc>
          <w:tcPr>
            <w:tcW w:type="dxa" w:w="900"/>
            <w:shd w:fill="F3F6F4" w:color="auto" w:val="clear"/>
            <w:tcMar>
              <w:top w:type="dxa" w:w="70"/>
              <w:left w:type="dxa" w:w="100"/>
              <w:bottom w:type="dxa" w:w="70"/>
              <w:right w:type="dxa" w:w="100"/>
            </w:tcMar>
          </w:tcPr>
          <w:p>
            <w:pPr>
              <w:spacing w:after="0" w:line="250"/>
            </w:pPr>
            <w:r>
              <w:rPr>
                <w:color w:val="1A1A1A"/>
                <w:sz w:val="19"/>
                <w:szCs w:val="19"/>
              </w:rPr>
              <w:t xml:space="preserve">20</w:t>
            </w:r>
          </w:p>
        </w:tc>
        <w:tc>
          <w:tcPr>
            <w:tcW w:type="dxa" w:w="3600"/>
            <w:shd w:fill="F3F6F4" w:color="auto" w:val="clear"/>
            <w:tcMar>
              <w:top w:type="dxa" w:w="70"/>
              <w:left w:type="dxa" w:w="100"/>
              <w:bottom w:type="dxa" w:w="70"/>
              <w:right w:type="dxa" w:w="100"/>
            </w:tcMar>
          </w:tcPr>
          <w:p>
            <w:pPr>
              <w:spacing w:after="0" w:line="250"/>
            </w:pPr>
            <w:r>
              <w:rPr>
                <w:color w:val="1A1A1A"/>
                <w:sz w:val="19"/>
                <w:szCs w:val="19"/>
              </w:rPr>
              <w:t xml:space="preserve">Fund not seen before in this customer's history</w:t>
            </w:r>
          </w:p>
        </w:tc>
        <w:tc>
          <w:tcPr>
            <w:tcW w:type="dxa" w:w="2020"/>
            <w:shd w:fill="F3F6F4" w:color="auto" w:val="clear"/>
            <w:tcMar>
              <w:top w:type="dxa" w:w="70"/>
              <w:left w:type="dxa" w:w="100"/>
              <w:bottom w:type="dxa" w:w="70"/>
              <w:right w:type="dxa" w:w="100"/>
            </w:tcMar>
          </w:tcPr>
          <w:p>
            <w:pPr>
              <w:spacing w:after="0" w:line="250"/>
            </w:pPr>
            <w:r>
              <w:rPr>
                <w:color w:val="1A1A1A"/>
                <w:sz w:val="19"/>
                <w:szCs w:val="19"/>
              </w:rPr>
              <w:t xml:space="preserve">First-party history</w:t>
            </w:r>
          </w:p>
        </w:tc>
      </w:tr>
    </w:tbl>
    <w:p>
      <w:pPr>
        <w:spacing w:after="160"/>
      </w:pPr>
    </w:p>
    <w:p>
      <w:pPr>
        <w:pStyle w:val="Heading3"/>
        <w:spacing w:after="80" w:before="180"/>
      </w:pPr>
      <w:r>
        <w:t xml:space="preserve">6.3  Decision bands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0"/>
      </w:tblGrid>
      <w:tr>
        <w:trPr>
          <w:tblHeader/>
        </w:trPr>
        <w:tc>
          <w:tcPr>
            <w:tcW w:type="dxa" w:w="1600"/>
            <w:shd w:fill="0B5D3B" w:color="auto" w:val="clear"/>
            <w:tcMar>
              <w:top w:type="dxa" w:w="70"/>
              <w:left w:type="dxa" w:w="100"/>
              <w:bottom w:type="dxa" w:w="70"/>
              <w:right w:type="dxa" w:w="100"/>
            </w:tcMar>
          </w:tcPr>
          <w:p>
            <w:pPr>
              <w:spacing w:after="0" w:line="250"/>
            </w:pPr>
            <w:r>
              <w:rPr>
                <w:b/>
                <w:bCs/>
                <w:color w:val="FFFFFF"/>
                <w:sz w:val="19"/>
                <w:szCs w:val="19"/>
              </w:rPr>
              <w:t xml:space="preserve">Band</w:t>
            </w:r>
          </w:p>
        </w:tc>
        <w:tc>
          <w:tcPr>
            <w:tcW w:type="dxa" w:w="1600"/>
            <w:shd w:fill="0B5D3B" w:color="auto" w:val="clear"/>
            <w:tcMar>
              <w:top w:type="dxa" w:w="70"/>
              <w:left w:type="dxa" w:w="100"/>
              <w:bottom w:type="dxa" w:w="70"/>
              <w:right w:type="dxa" w:w="100"/>
            </w:tcMar>
          </w:tcPr>
          <w:p>
            <w:pPr>
              <w:spacing w:after="0" w:line="250"/>
            </w:pPr>
            <w:r>
              <w:rPr>
                <w:b/>
                <w:bCs/>
                <w:color w:val="FFFFFF"/>
                <w:sz w:val="19"/>
                <w:szCs w:val="19"/>
              </w:rPr>
              <w:t xml:space="preserve">Score</w:t>
            </w:r>
          </w:p>
        </w:tc>
        <w:tc>
          <w:tcPr>
            <w:tcW w:type="dxa" w:w="5820"/>
            <w:shd w:fill="0B5D3B" w:color="auto" w:val="clear"/>
            <w:tcMar>
              <w:top w:type="dxa" w:w="70"/>
              <w:left w:type="dxa" w:w="100"/>
              <w:bottom w:type="dxa" w:w="70"/>
              <w:right w:type="dxa" w:w="100"/>
            </w:tcMar>
          </w:tcPr>
          <w:p>
            <w:pPr>
              <w:spacing w:after="0" w:line="250"/>
            </w:pPr>
            <w:r>
              <w:rPr>
                <w:b/>
                <w:bCs/>
                <w:color w:val="FFFFFF"/>
                <w:sz w:val="19"/>
                <w:szCs w:val="19"/>
              </w:rPr>
              <w:t xml:space="preserve">Customer experience</w:t>
            </w:r>
          </w:p>
        </w:tc>
      </w:tr>
      <w:tr>
        <w:trPr>
          <w:tblHeader w:val="false"/>
        </w:trPr>
        <w:tc>
          <w:tcPr>
            <w:tcW w:type="dxa" w:w="1600"/>
            <w:tcMar>
              <w:top w:type="dxa" w:w="70"/>
              <w:left w:type="dxa" w:w="100"/>
              <w:bottom w:type="dxa" w:w="70"/>
              <w:right w:type="dxa" w:w="100"/>
            </w:tcMar>
          </w:tcPr>
          <w:p>
            <w:pPr>
              <w:spacing w:after="0" w:line="250"/>
            </w:pPr>
            <w:r>
              <w:rPr>
                <w:color w:val="1A1A1A"/>
                <w:sz w:val="19"/>
                <w:szCs w:val="19"/>
              </w:rPr>
              <w:t xml:space="preserve">ALLOW</w:t>
            </w:r>
          </w:p>
        </w:tc>
        <w:tc>
          <w:tcPr>
            <w:tcW w:type="dxa" w:w="1600"/>
            <w:tcMar>
              <w:top w:type="dxa" w:w="70"/>
              <w:left w:type="dxa" w:w="100"/>
              <w:bottom w:type="dxa" w:w="70"/>
              <w:right w:type="dxa" w:w="100"/>
            </w:tcMar>
          </w:tcPr>
          <w:p>
            <w:pPr>
              <w:spacing w:after="0" w:line="250"/>
            </w:pPr>
            <w:r>
              <w:rPr>
                <w:color w:val="1A1A1A"/>
                <w:sz w:val="19"/>
                <w:szCs w:val="19"/>
              </w:rPr>
              <w:t xml:space="preserve">0 – 30</w:t>
            </w:r>
          </w:p>
        </w:tc>
        <w:tc>
          <w:tcPr>
            <w:tcW w:type="dxa" w:w="5820"/>
            <w:tcMar>
              <w:top w:type="dxa" w:w="70"/>
              <w:left w:type="dxa" w:w="100"/>
              <w:bottom w:type="dxa" w:w="70"/>
              <w:right w:type="dxa" w:w="100"/>
            </w:tcMar>
          </w:tcPr>
          <w:p>
            <w:pPr>
              <w:spacing w:after="0" w:line="250"/>
            </w:pPr>
            <w:r>
              <w:rPr>
                <w:color w:val="1A1A1A"/>
                <w:sz w:val="19"/>
                <w:szCs w:val="19"/>
              </w:rPr>
              <w:t xml:space="preserve">Completes with no friction</w:t>
            </w:r>
          </w:p>
        </w:tc>
      </w:tr>
      <w:tr>
        <w:trPr>
          <w:tblHeader w:val="false"/>
        </w:trPr>
        <w:tc>
          <w:tcPr>
            <w:tcW w:type="dxa" w:w="1600"/>
            <w:shd w:fill="F3F6F4" w:color="auto" w:val="clear"/>
            <w:tcMar>
              <w:top w:type="dxa" w:w="70"/>
              <w:left w:type="dxa" w:w="100"/>
              <w:bottom w:type="dxa" w:w="70"/>
              <w:right w:type="dxa" w:w="100"/>
            </w:tcMar>
          </w:tcPr>
          <w:p>
            <w:pPr>
              <w:spacing w:after="0" w:line="250"/>
            </w:pPr>
            <w:r>
              <w:rPr>
                <w:color w:val="1A1A1A"/>
                <w:sz w:val="19"/>
                <w:szCs w:val="19"/>
              </w:rPr>
              <w:t xml:space="preserve">WARN</w:t>
            </w:r>
          </w:p>
        </w:tc>
        <w:tc>
          <w:tcPr>
            <w:tcW w:type="dxa" w:w="1600"/>
            <w:shd w:fill="F3F6F4" w:color="auto" w:val="clear"/>
            <w:tcMar>
              <w:top w:type="dxa" w:w="70"/>
              <w:left w:type="dxa" w:w="100"/>
              <w:bottom w:type="dxa" w:w="70"/>
              <w:right w:type="dxa" w:w="100"/>
            </w:tcMar>
          </w:tcPr>
          <w:p>
            <w:pPr>
              <w:spacing w:after="0" w:line="250"/>
            </w:pPr>
            <w:r>
              <w:rPr>
                <w:color w:val="1A1A1A"/>
                <w:sz w:val="19"/>
                <w:szCs w:val="19"/>
              </w:rPr>
              <w:t xml:space="preserve">31 – 55</w:t>
            </w:r>
          </w:p>
        </w:tc>
        <w:tc>
          <w:tcPr>
            <w:tcW w:type="dxa" w:w="5820"/>
            <w:shd w:fill="F3F6F4" w:color="auto" w:val="clear"/>
            <w:tcMar>
              <w:top w:type="dxa" w:w="70"/>
              <w:left w:type="dxa" w:w="100"/>
              <w:bottom w:type="dxa" w:w="70"/>
              <w:right w:type="dxa" w:w="100"/>
            </w:tcMar>
          </w:tcPr>
          <w:p>
            <w:pPr>
              <w:spacing w:after="0" w:line="250"/>
            </w:pPr>
            <w:r>
              <w:rPr>
                <w:color w:val="1A1A1A"/>
                <w:sz w:val="19"/>
                <w:szCs w:val="19"/>
              </w:rPr>
              <w:t xml:space="preserve">Completes, with an advisory</w:t>
            </w:r>
          </w:p>
        </w:tc>
      </w:tr>
      <w:tr>
        <w:trPr>
          <w:tblHeader w:val="false"/>
        </w:trPr>
        <w:tc>
          <w:tcPr>
            <w:tcW w:type="dxa" w:w="1600"/>
            <w:tcMar>
              <w:top w:type="dxa" w:w="70"/>
              <w:left w:type="dxa" w:w="100"/>
              <w:bottom w:type="dxa" w:w="70"/>
              <w:right w:type="dxa" w:w="100"/>
            </w:tcMar>
          </w:tcPr>
          <w:p>
            <w:pPr>
              <w:spacing w:after="0" w:line="250"/>
            </w:pPr>
            <w:r>
              <w:rPr>
                <w:color w:val="1A1A1A"/>
                <w:sz w:val="19"/>
                <w:szCs w:val="19"/>
              </w:rPr>
              <w:t xml:space="preserve">CHALLENGE</w:t>
            </w:r>
          </w:p>
        </w:tc>
        <w:tc>
          <w:tcPr>
            <w:tcW w:type="dxa" w:w="1600"/>
            <w:tcMar>
              <w:top w:type="dxa" w:w="70"/>
              <w:left w:type="dxa" w:w="100"/>
              <w:bottom w:type="dxa" w:w="70"/>
              <w:right w:type="dxa" w:w="100"/>
            </w:tcMar>
          </w:tcPr>
          <w:p>
            <w:pPr>
              <w:spacing w:after="0" w:line="250"/>
            </w:pPr>
            <w:r>
              <w:rPr>
                <w:color w:val="1A1A1A"/>
                <w:sz w:val="19"/>
                <w:szCs w:val="19"/>
              </w:rPr>
              <w:t xml:space="preserve">56 – 79</w:t>
            </w:r>
          </w:p>
        </w:tc>
        <w:tc>
          <w:tcPr>
            <w:tcW w:type="dxa" w:w="5820"/>
            <w:tcMar>
              <w:top w:type="dxa" w:w="70"/>
              <w:left w:type="dxa" w:w="100"/>
              <w:bottom w:type="dxa" w:w="70"/>
              <w:right w:type="dxa" w:w="100"/>
            </w:tcMar>
          </w:tcPr>
          <w:p>
            <w:pPr>
              <w:spacing w:after="0" w:line="250"/>
            </w:pPr>
            <w:r>
              <w:rPr>
                <w:color w:val="1A1A1A"/>
                <w:sz w:val="19"/>
                <w:szCs w:val="19"/>
              </w:rPr>
              <w:t xml:space="preserve">Held for step-up verification before money moves</w:t>
            </w:r>
          </w:p>
        </w:tc>
      </w:tr>
      <w:tr>
        <w:trPr>
          <w:tblHeader w:val="false"/>
        </w:trPr>
        <w:tc>
          <w:tcPr>
            <w:tcW w:type="dxa" w:w="1600"/>
            <w:shd w:fill="F3F6F4" w:color="auto" w:val="clear"/>
            <w:tcMar>
              <w:top w:type="dxa" w:w="70"/>
              <w:left w:type="dxa" w:w="100"/>
              <w:bottom w:type="dxa" w:w="70"/>
              <w:right w:type="dxa" w:w="100"/>
            </w:tcMar>
          </w:tcPr>
          <w:p>
            <w:pPr>
              <w:spacing w:after="0" w:line="250"/>
            </w:pPr>
            <w:r>
              <w:rPr>
                <w:color w:val="1A1A1A"/>
                <w:sz w:val="19"/>
                <w:szCs w:val="19"/>
              </w:rPr>
              <w:t xml:space="preserve">BLOCK</w:t>
            </w:r>
          </w:p>
        </w:tc>
        <w:tc>
          <w:tcPr>
            <w:tcW w:type="dxa" w:w="1600"/>
            <w:shd w:fill="F3F6F4" w:color="auto" w:val="clear"/>
            <w:tcMar>
              <w:top w:type="dxa" w:w="70"/>
              <w:left w:type="dxa" w:w="100"/>
              <w:bottom w:type="dxa" w:w="70"/>
              <w:right w:type="dxa" w:w="100"/>
            </w:tcMar>
          </w:tcPr>
          <w:p>
            <w:pPr>
              <w:spacing w:after="0" w:line="250"/>
            </w:pPr>
            <w:r>
              <w:rPr>
                <w:color w:val="1A1A1A"/>
                <w:sz w:val="19"/>
                <w:szCs w:val="19"/>
              </w:rPr>
              <w:t xml:space="preserve">80 – 100</w:t>
            </w:r>
          </w:p>
        </w:tc>
        <w:tc>
          <w:tcPr>
            <w:tcW w:type="dxa" w:w="5820"/>
            <w:shd w:fill="F3F6F4" w:color="auto" w:val="clear"/>
            <w:tcMar>
              <w:top w:type="dxa" w:w="70"/>
              <w:left w:type="dxa" w:w="100"/>
              <w:bottom w:type="dxa" w:w="70"/>
              <w:right w:type="dxa" w:w="100"/>
            </w:tcMar>
          </w:tcPr>
          <w:p>
            <w:pPr>
              <w:spacing w:after="0" w:line="250"/>
            </w:pPr>
            <w:r>
              <w:rPr>
                <w:color w:val="1A1A1A"/>
                <w:sz w:val="19"/>
                <w:szCs w:val="19"/>
              </w:rPr>
              <w:t xml:space="preserve">Stopped and reported</w:t>
            </w:r>
          </w:p>
        </w:tc>
      </w:tr>
    </w:tbl>
    <w:p>
      <w:pPr>
        <w:spacing w:after="160"/>
      </w:pPr>
    </w:p>
    <w:p>
      <w:pPr>
        <w:spacing w:after="120" w:line="276"/>
      </w:pPr>
      <w:r>
        <w:rPr>
          <w:b w:val="false"/>
          <w:bCs w:val="false"/>
          <w:i w:val="false"/>
          <w:iCs w:val="false"/>
          <w:color w:val="1A1A1A"/>
          <w:sz w:val="21"/>
          <w:szCs w:val="21"/>
        </w:rPr>
        <w:t xml:space="preserve">A pattern the models have not seen resolves to CHALLENGE, never to a silent ALLOW. Uncertainty escalates toward asking the customer rather than toward letting the transaction through.</w:t>
      </w:r>
    </w:p>
    <w:p>
      <w:pPr>
        <w:pStyle w:val="Heading3"/>
        <w:spacing w:after="80" w:before="180"/>
      </w:pPr>
      <w:r>
        <w:t xml:space="preserve">6.4  Access control and data protection</w:t>
      </w:r>
    </w:p>
    <w:p>
      <w:pPr>
        <w:pStyle w:val="ListParagraph"/>
        <w:numPr>
          <w:ilvl w:val="0"/>
          <w:numId w:val="2"/>
        </w:numPr>
        <w:spacing w:after="70" w:line="268"/>
      </w:pPr>
      <w:r>
        <w:rPr>
          <w:b w:val="false"/>
          <w:bCs w:val="false"/>
          <w:i w:val="false"/>
          <w:iCs w:val="false"/>
          <w:color w:val="1A1A1A"/>
          <w:sz w:val="21"/>
          <w:szCs w:val="21"/>
        </w:rPr>
        <w:t xml:space="preserve">MPINs hashed with bcrypt; never stored, logged or returned in clear text.</w:t>
      </w:r>
    </w:p>
    <w:p>
      <w:pPr>
        <w:pStyle w:val="ListParagraph"/>
        <w:numPr>
          <w:ilvl w:val="0"/>
          <w:numId w:val="2"/>
        </w:numPr>
        <w:spacing w:after="70" w:line="268"/>
      </w:pPr>
      <w:r>
        <w:rPr>
          <w:b w:val="false"/>
          <w:bCs w:val="false"/>
          <w:i w:val="false"/>
          <w:iCs w:val="false"/>
          <w:color w:val="1A1A1A"/>
          <w:sz w:val="21"/>
          <w:szCs w:val="21"/>
        </w:rPr>
        <w:t xml:space="preserve">Only the issued SecureWealth ID is accepted at login — verified by an automated test asserting HTTP 401 for phone-number login.</w:t>
      </w:r>
    </w:p>
    <w:p>
      <w:pPr>
        <w:pStyle w:val="ListParagraph"/>
        <w:numPr>
          <w:ilvl w:val="0"/>
          <w:numId w:val="2"/>
        </w:numPr>
        <w:spacing w:after="70" w:line="268"/>
      </w:pPr>
      <w:r>
        <w:rPr>
          <w:b w:val="false"/>
          <w:bCs w:val="false"/>
          <w:i w:val="false"/>
          <w:iCs w:val="false"/>
          <w:color w:val="1A1A1A"/>
          <w:sz w:val="21"/>
          <w:szCs w:val="21"/>
        </w:rPr>
        <w:t xml:space="preserve">Token-based stateless sessions; no server-side session store to hijack.</w:t>
      </w:r>
    </w:p>
    <w:p>
      <w:pPr>
        <w:pStyle w:val="ListParagraph"/>
        <w:numPr>
          <w:ilvl w:val="0"/>
          <w:numId w:val="2"/>
        </w:numPr>
        <w:spacing w:after="70" w:line="268"/>
      </w:pPr>
      <w:r>
        <w:rPr>
          <w:b w:val="false"/>
          <w:bCs w:val="false"/>
          <w:i w:val="false"/>
          <w:iCs w:val="false"/>
          <w:color w:val="1A1A1A"/>
          <w:sz w:val="21"/>
          <w:szCs w:val="21"/>
        </w:rPr>
        <w:t xml:space="preserve">Every device registered and carrying a trust state that feeds a quarter of the risk score.</w:t>
      </w:r>
    </w:p>
    <w:p>
      <w:pPr>
        <w:pStyle w:val="ListParagraph"/>
        <w:numPr>
          <w:ilvl w:val="0"/>
          <w:numId w:val="2"/>
        </w:numPr>
        <w:spacing w:after="70" w:line="268"/>
      </w:pPr>
      <w:r>
        <w:rPr>
          <w:b w:val="false"/>
          <w:bCs w:val="false"/>
          <w:i w:val="false"/>
          <w:iCs w:val="false"/>
          <w:color w:val="1A1A1A"/>
          <w:sz w:val="21"/>
          <w:szCs w:val="21"/>
        </w:rPr>
        <w:t xml:space="preserve">Administrative endpoints behind a separate key; wrong or missing keys return 401, covered by tests.</w:t>
      </w:r>
    </w:p>
    <w:p>
      <w:pPr>
        <w:pStyle w:val="ListParagraph"/>
        <w:numPr>
          <w:ilvl w:val="0"/>
          <w:numId w:val="2"/>
        </w:numPr>
        <w:spacing w:after="70" w:line="268"/>
      </w:pPr>
      <w:r>
        <w:rPr>
          <w:b w:val="false"/>
          <w:bCs w:val="false"/>
          <w:i w:val="false"/>
          <w:iCs w:val="false"/>
          <w:color w:val="1A1A1A"/>
          <w:sz w:val="21"/>
          <w:szCs w:val="21"/>
        </w:rPr>
        <w:t xml:space="preserve">TLS in transit, encryption at rest, and — architecturally the most consequential — a locally hosted language model, so customer financial data is never transmitted to a third-party AI provider.</w:t>
      </w:r>
    </w:p>
    <w:p>
      <w:pPr>
        <w:pStyle w:val="Heading1"/>
        <w:spacing w:after="140" w:before="360"/>
      </w:pPr>
      <w:r>
        <w:t xml:space="preserve">7.  Machine learning</w:t>
      </w:r>
    </w:p>
    <w:p>
      <w:pPr>
        <w:pStyle w:val="Heading3"/>
        <w:spacing w:after="80" w:before="180"/>
      </w:pPr>
      <w:r>
        <w:t xml:space="preserve">7.1  Fraud classification</w:t>
      </w:r>
    </w:p>
    <w:p>
      <w:pPr>
        <w:spacing w:after="120" w:line="276"/>
      </w:pPr>
      <w:r>
        <w:rPr>
          <w:b w:val="false"/>
          <w:bCs w:val="false"/>
          <w:i w:val="false"/>
          <w:iCs w:val="false"/>
          <w:color w:val="1A1A1A"/>
          <w:sz w:val="21"/>
          <w:szCs w:val="21"/>
        </w:rPr>
        <w:t xml:space="preserve">An XGBoost gradient-boosted classifier scores fraud probability from 22 engineered behavioural features — amount relative to the customer's own distribution, timing, velocity, device familiarity, recipient novelty and OTP interaction timing. Its output carries the largest single weight in the risk score.</w:t>
      </w:r>
    </w:p>
    <w:p>
      <w:pPr>
        <w:spacing w:after="120" w:line="276"/>
      </w:pPr>
      <w:r>
        <w:rPr>
          <w:b w:val="false"/>
          <w:bCs w:val="false"/>
          <w:i w:val="false"/>
          <w:iCs w:val="false"/>
          <w:color w:val="1A1A1A"/>
          <w:sz w:val="21"/>
          <w:szCs w:val="21"/>
        </w:rPr>
        <w:t xml:space="preserve">The loader verifies the model's saved feature contract against the runtime feature builder. On a mismatch the model's output is down-weighted to low confidence rather than trusted, because a silently misaligned feature vector produces confident nonsense rather than an obvious error.</w:t>
      </w:r>
    </w:p>
    <w:p>
      <w:pPr>
        <w:pStyle w:val="Heading3"/>
        <w:spacing w:after="80" w:before="180"/>
      </w:pPr>
      <w:r>
        <w:t xml:space="preserve">7.2  Zero-day novelty detection</w:t>
      </w:r>
    </w:p>
    <w:p>
      <w:pPr>
        <w:spacing w:after="120" w:line="276"/>
      </w:pPr>
      <w:r>
        <w:rPr>
          <w:b w:val="false"/>
          <w:bCs w:val="false"/>
          <w:i w:val="false"/>
          <w:iCs w:val="false"/>
          <w:color w:val="1A1A1A"/>
          <w:sz w:val="21"/>
          <w:szCs w:val="21"/>
        </w:rPr>
        <w:t xml:space="preserve">A PyTorch autoencoder is trained only on legitimate transactions. At inference it reconstructs the incoming feature vector and measures reconstruction error against thresholds calibrated at the 95th and 99th percentiles of the training distribution. High error means the transaction does not resemble anything the model learned as normal — which catches attack shapes nobody wrote a rule for.</w:t>
      </w:r>
    </w:p>
    <w:tbl>
      <w:tblPr>
        <w:tblW w:type="dxa" w:w="9020"/>
        <w:tblBorders>
          <w:top w:val="none"/>
          <w:left w:val="single" w:color="8A6D12" w:sz="18"/>
          <w:bottom w:val="none"/>
          <w:right w:val="none"/>
          <w:insideH w:val="none"/>
          <w:insideV w:val="none"/>
        </w:tblBorders>
      </w:tblPr>
      <w:tblGrid>
        <w:gridCol w:w="9020"/>
      </w:tblGrid>
      <w:tr>
        <w:tc>
          <w:tcPr>
            <w:tcW w:type="dxa" w:w="9020"/>
            <w:shd w:fill="F3F6F4" w:color="auto" w:val="clear"/>
            <w:tcMar>
              <w:top w:type="dxa" w:w="110"/>
              <w:left w:type="dxa" w:w="150"/>
              <w:bottom w:type="dxa" w:w="110"/>
              <w:right w:type="dxa" w:w="130"/>
            </w:tcMar>
          </w:tcPr>
          <w:p>
            <w:pPr>
              <w:spacing w:after="0" w:line="268"/>
            </w:pPr>
            <w:r>
              <w:rPr>
                <w:b/>
                <w:bCs/>
                <w:color w:val="0B5D3B"/>
                <w:sz w:val="20"/>
                <w:szCs w:val="20"/>
              </w:rPr>
              <w:t xml:space="preserve">Why one-class learning matters here.  </w:t>
            </w:r>
            <w:r>
              <w:rPr>
                <w:color w:val="1A1A1A"/>
                <w:sz w:val="20"/>
                <w:szCs w:val="20"/>
              </w:rPr>
              <w:t xml:space="preserve">A supervised fraud classifier can only recognise fraud patterns present in its training labels. An autoencoder trained exclusively on legitimate behaviour needs no fraud examples at all: anything it cannot reconstruct is, by construction, unlike normal activity. The two are complementary, which is why both run.</w:t>
            </w:r>
          </w:p>
        </w:tc>
      </w:tr>
    </w:tbl>
    <w:p>
      <w:pPr>
        <w:spacing w:after="160"/>
      </w:pPr>
    </w:p>
    <w:p>
      <w:pPr>
        <w:pStyle w:val="Heading3"/>
        <w:spacing w:after="80" w:before="180"/>
      </w:pPr>
      <w:r>
        <w:t xml:space="preserve">7.3  Explainability</w:t>
      </w:r>
    </w:p>
    <w:p>
      <w:pPr>
        <w:spacing w:after="120" w:line="276"/>
      </w:pPr>
      <w:r>
        <w:rPr>
          <w:b w:val="false"/>
          <w:bCs w:val="false"/>
          <w:i w:val="false"/>
          <w:iCs w:val="false"/>
          <w:color w:val="1A1A1A"/>
          <w:sz w:val="21"/>
          <w:szCs w:val="21"/>
        </w:rPr>
        <w:t xml:space="preserve">Seven engines convert engine output into plain language for customers: wealth recommendations, fraud, decision, challenge, unknown-risk, device trust and phishing. Generation runs on a locally hosted llama3 via Ollama, with deterministic templates as a fallback so the system degrades to correct-but-plainer text rather than failing.</w:t>
      </w:r>
    </w:p>
    <w:p>
      <w:pPr>
        <w:spacing w:after="120" w:line="276"/>
      </w:pPr>
      <w:r>
        <w:rPr>
          <w:b w:val="false"/>
          <w:bCs w:val="false"/>
          <w:i w:val="false"/>
          <w:iCs w:val="false"/>
          <w:color w:val="1A1A1A"/>
          <w:sz w:val="21"/>
          <w:szCs w:val="21"/>
        </w:rPr>
        <w:t xml:space="preserve">Explanations are guard-railed. A decision explainer that produced text contradicting the decision it was explaining — describing a held transaction as successful — is rejected before it reaches the customer.</w:t>
      </w:r>
    </w:p>
    <w:p>
      <w:pPr>
        <w:pStyle w:val="Heading1"/>
        <w:spacing w:after="140" w:before="360"/>
      </w:pPr>
      <w:r>
        <w:t xml:space="preserve">8.  Tamper-evident audit</w:t>
      </w:r>
    </w:p>
    <w:p>
      <w:pPr>
        <w:spacing w:after="120" w:line="276"/>
      </w:pPr>
      <w:r>
        <w:rPr>
          <w:b w:val="false"/>
          <w:bCs w:val="false"/>
          <w:i w:val="false"/>
          <w:iCs w:val="false"/>
          <w:color w:val="1A1A1A"/>
          <w:sz w:val="21"/>
          <w:szCs w:val="21"/>
        </w:rPr>
        <w:t xml:space="preserve">Every decision, including every approval, is written to an audit record. A trail that only records refusals cannot prove what was permitted.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4320"/>
      </w:tblGrid>
      <w:tr>
        <w:trPr>
          <w:tblHeader/>
        </w:trPr>
        <w:tc>
          <w:tcPr>
            <w:tcW w:type="dxa" w:w="1400"/>
            <w:shd w:fill="0B5D3B" w:color="auto" w:val="clear"/>
            <w:tcMar>
              <w:top w:type="dxa" w:w="70"/>
              <w:left w:type="dxa" w:w="100"/>
              <w:bottom w:type="dxa" w:w="70"/>
              <w:right w:type="dxa" w:w="100"/>
            </w:tcMar>
          </w:tcPr>
          <w:p>
            <w:pPr>
              <w:spacing w:after="0" w:line="250"/>
            </w:pPr>
            <w:r>
              <w:rPr>
                <w:b/>
                <w:bCs/>
                <w:color w:val="FFFFFF"/>
                <w:sz w:val="19"/>
                <w:szCs w:val="19"/>
              </w:rPr>
              <w:t xml:space="preserve">Layer</w:t>
            </w:r>
          </w:p>
        </w:tc>
        <w:tc>
          <w:tcPr>
            <w:tcW w:type="dxa" w:w="3300"/>
            <w:shd w:fill="0B5D3B" w:color="auto" w:val="clear"/>
            <w:tcMar>
              <w:top w:type="dxa" w:w="70"/>
              <w:left w:type="dxa" w:w="100"/>
              <w:bottom w:type="dxa" w:w="70"/>
              <w:right w:type="dxa" w:w="100"/>
            </w:tcMar>
          </w:tcPr>
          <w:p>
            <w:pPr>
              <w:spacing w:after="0" w:line="250"/>
            </w:pPr>
            <w:r>
              <w:rPr>
                <w:b/>
                <w:bCs/>
                <w:color w:val="FFFFFF"/>
                <w:sz w:val="19"/>
                <w:szCs w:val="19"/>
              </w:rPr>
              <w:t xml:space="preserve">Mechanism</w:t>
            </w:r>
          </w:p>
        </w:tc>
        <w:tc>
          <w:tcPr>
            <w:tcW w:type="dxa" w:w="4320"/>
            <w:shd w:fill="0B5D3B" w:color="auto" w:val="clear"/>
            <w:tcMar>
              <w:top w:type="dxa" w:w="70"/>
              <w:left w:type="dxa" w:w="100"/>
              <w:bottom w:type="dxa" w:w="70"/>
              <w:right w:type="dxa" w:w="100"/>
            </w:tcMar>
          </w:tcPr>
          <w:p>
            <w:pPr>
              <w:spacing w:after="0" w:line="250"/>
            </w:pPr>
            <w:r>
              <w:rPr>
                <w:b/>
                <w:bCs/>
                <w:color w:val="FFFFFF"/>
                <w:sz w:val="19"/>
                <w:szCs w:val="19"/>
              </w:rPr>
              <w:t xml:space="preserve">What it defends against</w:t>
            </w:r>
          </w:p>
        </w:tc>
      </w:tr>
      <w:tr>
        <w:trPr>
          <w:tblHeader w:val="false"/>
        </w:trPr>
        <w:tc>
          <w:tcPr>
            <w:tcW w:type="dxa" w:w="1400"/>
            <w:tcMar>
              <w:top w:type="dxa" w:w="70"/>
              <w:left w:type="dxa" w:w="100"/>
              <w:bottom w:type="dxa" w:w="70"/>
              <w:right w:type="dxa" w:w="100"/>
            </w:tcMar>
          </w:tcPr>
          <w:p>
            <w:pPr>
              <w:spacing w:after="0" w:line="250"/>
            </w:pPr>
            <w:r>
              <w:rPr>
                <w:color w:val="1A1A1A"/>
                <w:sz w:val="19"/>
                <w:szCs w:val="19"/>
              </w:rPr>
              <w:t xml:space="preserve">Chain</w:t>
            </w:r>
          </w:p>
        </w:tc>
        <w:tc>
          <w:tcPr>
            <w:tcW w:type="dxa" w:w="3300"/>
            <w:tcMar>
              <w:top w:type="dxa" w:w="70"/>
              <w:left w:type="dxa" w:w="100"/>
              <w:bottom w:type="dxa" w:w="70"/>
              <w:right w:type="dxa" w:w="100"/>
            </w:tcMar>
          </w:tcPr>
          <w:p>
            <w:pPr>
              <w:spacing w:after="0" w:line="250"/>
            </w:pPr>
            <w:r>
              <w:rPr>
                <w:color w:val="1A1A1A"/>
                <w:sz w:val="19"/>
                <w:szCs w:val="19"/>
              </w:rPr>
              <w:t xml:space="preserve">Each record stores the hash of its predecessor; SHA-256 over a canonicalised payload</w:t>
            </w:r>
          </w:p>
        </w:tc>
        <w:tc>
          <w:tcPr>
            <w:tcW w:type="dxa" w:w="4320"/>
            <w:tcMar>
              <w:top w:type="dxa" w:w="70"/>
              <w:left w:type="dxa" w:w="100"/>
              <w:bottom w:type="dxa" w:w="70"/>
              <w:right w:type="dxa" w:w="100"/>
            </w:tcMar>
          </w:tcPr>
          <w:p>
            <w:pPr>
              <w:spacing w:after="0" w:line="250"/>
            </w:pPr>
            <w:r>
              <w:rPr>
                <w:color w:val="1A1A1A"/>
                <w:sz w:val="19"/>
                <w:szCs w:val="19"/>
              </w:rPr>
              <w:t xml:space="preserve">Alteration and reordering — changing one record breaks every link after it</w:t>
            </w:r>
          </w:p>
        </w:tc>
      </w:tr>
      <w:tr>
        <w:trPr>
          <w:tblHeader w:val="false"/>
        </w:trPr>
        <w:tc>
          <w:tcPr>
            <w:tcW w:type="dxa" w:w="1400"/>
            <w:shd w:fill="F3F6F4" w:color="auto" w:val="clear"/>
            <w:tcMar>
              <w:top w:type="dxa" w:w="70"/>
              <w:left w:type="dxa" w:w="100"/>
              <w:bottom w:type="dxa" w:w="70"/>
              <w:right w:type="dxa" w:w="100"/>
            </w:tcMar>
          </w:tcPr>
          <w:p>
            <w:pPr>
              <w:spacing w:after="0" w:line="250"/>
            </w:pPr>
            <w:r>
              <w:rPr>
                <w:color w:val="1A1A1A"/>
                <w:sz w:val="19"/>
                <w:szCs w:val="19"/>
              </w:rPr>
              <w:t xml:space="preserve">Signature</w:t>
            </w:r>
          </w:p>
        </w:tc>
        <w:tc>
          <w:tcPr>
            <w:tcW w:type="dxa" w:w="3300"/>
            <w:shd w:fill="F3F6F4" w:color="auto" w:val="clear"/>
            <w:tcMar>
              <w:top w:type="dxa" w:w="70"/>
              <w:left w:type="dxa" w:w="100"/>
              <w:bottom w:type="dxa" w:w="70"/>
              <w:right w:type="dxa" w:w="100"/>
            </w:tcMar>
          </w:tcPr>
          <w:p>
            <w:pPr>
              <w:spacing w:after="0" w:line="250"/>
            </w:pPr>
            <w:r>
              <w:rPr>
                <w:color w:val="1A1A1A"/>
                <w:sz w:val="19"/>
                <w:szCs w:val="19"/>
              </w:rPr>
              <w:t xml:space="preserve">Ed25519 signature over each record</w:t>
            </w:r>
          </w:p>
        </w:tc>
        <w:tc>
          <w:tcPr>
            <w:tcW w:type="dxa" w:w="4320"/>
            <w:shd w:fill="F3F6F4" w:color="auto" w:val="clear"/>
            <w:tcMar>
              <w:top w:type="dxa" w:w="70"/>
              <w:left w:type="dxa" w:w="100"/>
              <w:bottom w:type="dxa" w:w="70"/>
              <w:right w:type="dxa" w:w="100"/>
            </w:tcMar>
          </w:tcPr>
          <w:p>
            <w:pPr>
              <w:spacing w:after="0" w:line="250"/>
            </w:pPr>
            <w:r>
              <w:rPr>
                <w:color w:val="1A1A1A"/>
                <w:sz w:val="19"/>
                <w:szCs w:val="19"/>
              </w:rPr>
              <w:t xml:space="preserve">An attacker who recomputes the chain: hashing is public, signing requires the private key</w:t>
            </w:r>
          </w:p>
        </w:tc>
      </w:tr>
      <w:tr>
        <w:trPr>
          <w:tblHeader w:val="false"/>
        </w:trPr>
        <w:tc>
          <w:tcPr>
            <w:tcW w:type="dxa" w:w="1400"/>
            <w:tcMar>
              <w:top w:type="dxa" w:w="70"/>
              <w:left w:type="dxa" w:w="100"/>
              <w:bottom w:type="dxa" w:w="70"/>
              <w:right w:type="dxa" w:w="100"/>
            </w:tcMar>
          </w:tcPr>
          <w:p>
            <w:pPr>
              <w:spacing w:after="0" w:line="250"/>
            </w:pPr>
            <w:r>
              <w:rPr>
                <w:color w:val="1A1A1A"/>
                <w:sz w:val="19"/>
                <w:szCs w:val="19"/>
              </w:rPr>
              <w:t xml:space="preserve">Replication</w:t>
            </w:r>
          </w:p>
        </w:tc>
        <w:tc>
          <w:tcPr>
            <w:tcW w:type="dxa" w:w="3300"/>
            <w:tcMar>
              <w:top w:type="dxa" w:w="70"/>
              <w:left w:type="dxa" w:w="100"/>
              <w:bottom w:type="dxa" w:w="70"/>
              <w:right w:type="dxa" w:w="100"/>
            </w:tcMar>
          </w:tcPr>
          <w:p>
            <w:pPr>
              <w:spacing w:after="0" w:line="250"/>
            </w:pPr>
            <w:r>
              <w:rPr>
                <w:color w:val="1A1A1A"/>
                <w:sz w:val="19"/>
                <w:szCs w:val="19"/>
              </w:rPr>
              <w:t xml:space="preserve">Master table plus three replica tables</w:t>
            </w:r>
          </w:p>
        </w:tc>
        <w:tc>
          <w:tcPr>
            <w:tcW w:type="dxa" w:w="4320"/>
            <w:tcMar>
              <w:top w:type="dxa" w:w="70"/>
              <w:left w:type="dxa" w:w="100"/>
              <w:bottom w:type="dxa" w:w="70"/>
              <w:right w:type="dxa" w:w="100"/>
            </w:tcMar>
          </w:tcPr>
          <w:p>
            <w:pPr>
              <w:spacing w:after="0" w:line="250"/>
            </w:pPr>
            <w:r>
              <w:rPr>
                <w:color w:val="1A1A1A"/>
                <w:sz w:val="19"/>
                <w:szCs w:val="19"/>
              </w:rPr>
              <w:t xml:space="preserve">Enables repair, not merely detection</w:t>
            </w:r>
          </w:p>
        </w:tc>
      </w:tr>
      <w:tr>
        <w:trPr>
          <w:tblHeader w:val="false"/>
        </w:trPr>
        <w:tc>
          <w:tcPr>
            <w:tcW w:type="dxa" w:w="1400"/>
            <w:shd w:fill="F3F6F4" w:color="auto" w:val="clear"/>
            <w:tcMar>
              <w:top w:type="dxa" w:w="70"/>
              <w:left w:type="dxa" w:w="100"/>
              <w:bottom w:type="dxa" w:w="70"/>
              <w:right w:type="dxa" w:w="100"/>
            </w:tcMar>
          </w:tcPr>
          <w:p>
            <w:pPr>
              <w:spacing w:after="0" w:line="250"/>
            </w:pPr>
            <w:r>
              <w:rPr>
                <w:color w:val="1A1A1A"/>
                <w:sz w:val="19"/>
                <w:szCs w:val="19"/>
              </w:rPr>
              <w:t xml:space="preserve">Monitoring</w:t>
            </w:r>
          </w:p>
        </w:tc>
        <w:tc>
          <w:tcPr>
            <w:tcW w:type="dxa" w:w="3300"/>
            <w:shd w:fill="F3F6F4" w:color="auto" w:val="clear"/>
            <w:tcMar>
              <w:top w:type="dxa" w:w="70"/>
              <w:left w:type="dxa" w:w="100"/>
              <w:bottom w:type="dxa" w:w="70"/>
              <w:right w:type="dxa" w:w="100"/>
            </w:tcMar>
          </w:tcPr>
          <w:p>
            <w:pPr>
              <w:spacing w:after="0" w:line="250"/>
            </w:pPr>
            <w:r>
              <w:rPr>
                <w:color w:val="1A1A1A"/>
                <w:sz w:val="19"/>
                <w:szCs w:val="19"/>
              </w:rPr>
              <w:t xml:space="preserve">Background sweep re-verifies the entire chain every 300 seconds</w:t>
            </w:r>
          </w:p>
        </w:tc>
        <w:tc>
          <w:tcPr>
            <w:tcW w:type="dxa" w:w="4320"/>
            <w:shd w:fill="F3F6F4" w:color="auto" w:val="clear"/>
            <w:tcMar>
              <w:top w:type="dxa" w:w="70"/>
              <w:left w:type="dxa" w:w="100"/>
              <w:bottom w:type="dxa" w:w="70"/>
              <w:right w:type="dxa" w:w="100"/>
            </w:tcMar>
          </w:tcPr>
          <w:p>
            <w:pPr>
              <w:spacing w:after="0" w:line="250"/>
            </w:pPr>
            <w:r>
              <w:rPr>
                <w:color w:val="1A1A1A"/>
                <w:sz w:val="19"/>
                <w:szCs w:val="19"/>
              </w:rPr>
              <w:t xml:space="preserve">Silent long-lived corruption</w:t>
            </w:r>
          </w:p>
        </w:tc>
      </w:tr>
    </w:tbl>
    <w:p>
      <w:pPr>
        <w:spacing w:after="160"/>
      </w:pPr>
    </w:p>
    <w:p>
      <w:pPr>
        <w:pStyle w:val="Heading3"/>
        <w:spacing w:after="80" w:before="180"/>
      </w:pPr>
      <w:r>
        <w:t xml:space="preserve">The design decision that distinguishes it</w:t>
      </w:r>
    </w:p>
    <w:p>
      <w:pPr>
        <w:spacing w:after="120" w:line="276"/>
      </w:pPr>
      <w:r>
        <w:rPr>
          <w:b w:val="false"/>
          <w:bCs w:val="false"/>
          <w:i w:val="false"/>
          <w:iCs w:val="false"/>
          <w:color w:val="1A1A1A"/>
          <w:sz w:val="21"/>
          <w:szCs w:val="21"/>
        </w:rPr>
        <w:t xml:space="preserve">When copies disagree, something must decide which is authoritative. Trusting the master fails against the realistic attack — an insider edits it, the honest replicas are declared corrupt and “repaired” with the forgery. Content majority fails too: an attacker editing three of four copies holds the majority.</w:t>
      </w:r>
    </w:p>
    <w:p>
      <w:pPr>
        <w:spacing w:after="120" w:line="276"/>
      </w:pPr>
      <w:r>
        <w:rPr>
          <w:b w:val="false"/>
          <w:bCs w:val="false"/>
          <w:i w:val="false"/>
          <w:iCs w:val="false"/>
          <w:color w:val="1A1A1A"/>
          <w:sz w:val="21"/>
          <w:szCs w:val="21"/>
        </w:rPr>
        <w:t xml:space="preserve">This system grants authority to a valid Ed25519 signature rather than to a head-count. Forged copies fail verification regardless of how many exist, so a single genuine copy is provably authoritative and sufficient to restore from. Detection and repair are themselves written back as signed audit events, so an incident survives its own fix.</w:t>
      </w:r>
    </w:p>
    <w:p>
      <w:pPr>
        <w:pStyle w:val="Heading1"/>
        <w:spacing w:after="140" w:before="360"/>
      </w:pPr>
      <w:r>
        <w:t xml:space="preserve">9.  Engineering practice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5320"/>
        <w:gridCol w:w="1600"/>
      </w:tblGrid>
      <w:tr>
        <w:trPr>
          <w:tblHeader/>
        </w:trPr>
        <w:tc>
          <w:tcPr>
            <w:tcW w:type="dxa" w:w="2100"/>
            <w:shd w:fill="0B5D3B" w:color="auto" w:val="clear"/>
            <w:tcMar>
              <w:top w:type="dxa" w:w="70"/>
              <w:left w:type="dxa" w:w="100"/>
              <w:bottom w:type="dxa" w:w="70"/>
              <w:right w:type="dxa" w:w="100"/>
            </w:tcMar>
          </w:tcPr>
          <w:p>
            <w:pPr>
              <w:spacing w:after="0" w:line="250"/>
            </w:pPr>
            <w:r>
              <w:rPr>
                <w:b/>
                <w:bCs/>
                <w:color w:val="FFFFFF"/>
                <w:sz w:val="19"/>
                <w:szCs w:val="19"/>
              </w:rPr>
              <w:t xml:space="preserve">Suite</w:t>
            </w:r>
          </w:p>
        </w:tc>
        <w:tc>
          <w:tcPr>
            <w:tcW w:type="dxa" w:w="5320"/>
            <w:shd w:fill="0B5D3B" w:color="auto" w:val="clear"/>
            <w:tcMar>
              <w:top w:type="dxa" w:w="70"/>
              <w:left w:type="dxa" w:w="100"/>
              <w:bottom w:type="dxa" w:w="70"/>
              <w:right w:type="dxa" w:w="100"/>
            </w:tcMar>
          </w:tcPr>
          <w:p>
            <w:pPr>
              <w:spacing w:after="0" w:line="250"/>
            </w:pPr>
            <w:r>
              <w:rPr>
                <w:b/>
                <w:bCs/>
                <w:color w:val="FFFFFF"/>
                <w:sz w:val="19"/>
                <w:szCs w:val="19"/>
              </w:rPr>
              <w:t xml:space="preserve">Scope</w:t>
            </w:r>
          </w:p>
        </w:tc>
        <w:tc>
          <w:tcPr>
            <w:tcW w:type="dxa" w:w="1600"/>
            <w:shd w:fill="0B5D3B" w:color="auto" w:val="clear"/>
            <w:tcMar>
              <w:top w:type="dxa" w:w="70"/>
              <w:left w:type="dxa" w:w="100"/>
              <w:bottom w:type="dxa" w:w="70"/>
              <w:right w:type="dxa" w:w="100"/>
            </w:tcMar>
          </w:tcPr>
          <w:p>
            <w:pPr>
              <w:spacing w:after="0" w:line="250"/>
            </w:pPr>
            <w:r>
              <w:rPr>
                <w:b/>
                <w:bCs/>
                <w:color w:val="FFFFFF"/>
                <w:sz w:val="19"/>
                <w:szCs w:val="19"/>
              </w:rPr>
              <w:t xml:space="preserve">Assertions</w:t>
            </w:r>
          </w:p>
        </w:tc>
      </w:tr>
      <w:tr>
        <w:trPr>
          <w:tblHeader w:val="false"/>
        </w:trPr>
        <w:tc>
          <w:tcPr>
            <w:tcW w:type="dxa" w:w="2100"/>
            <w:tcMar>
              <w:top w:type="dxa" w:w="70"/>
              <w:left w:type="dxa" w:w="100"/>
              <w:bottom w:type="dxa" w:w="70"/>
              <w:right w:type="dxa" w:w="100"/>
            </w:tcMar>
          </w:tcPr>
          <w:p>
            <w:pPr>
              <w:spacing w:after="0" w:line="250"/>
            </w:pPr>
            <w:r>
              <w:rPr>
                <w:color w:val="1A1A1A"/>
                <w:sz w:val="19"/>
                <w:szCs w:val="19"/>
              </w:rPr>
              <w:t xml:space="preserve">Backend journey</w:t>
            </w:r>
          </w:p>
        </w:tc>
        <w:tc>
          <w:tcPr>
            <w:tcW w:type="dxa" w:w="5320"/>
            <w:tcMar>
              <w:top w:type="dxa" w:w="70"/>
              <w:left w:type="dxa" w:w="100"/>
              <w:bottom w:type="dxa" w:w="70"/>
              <w:right w:type="dxa" w:w="100"/>
            </w:tcMar>
          </w:tcPr>
          <w:p>
            <w:pPr>
              <w:spacing w:after="0" w:line="250"/>
            </w:pPr>
            <w:r>
              <w:rPr>
                <w:color w:val="1A1A1A"/>
                <w:sz w:val="19"/>
                <w:szCs w:val="19"/>
              </w:rPr>
              <w:t xml:space="preserve">Auth, consent gating, validation, decision paths, challenge flows, audit, wealth, phishing, admin, plus an endpoint sweep</w:t>
            </w:r>
          </w:p>
        </w:tc>
        <w:tc>
          <w:tcPr>
            <w:tcW w:type="dxa" w:w="1600"/>
            <w:tcMar>
              <w:top w:type="dxa" w:w="70"/>
              <w:left w:type="dxa" w:w="100"/>
              <w:bottom w:type="dxa" w:w="70"/>
              <w:right w:type="dxa" w:w="100"/>
            </w:tcMar>
          </w:tcPr>
          <w:p>
            <w:pPr>
              <w:spacing w:after="0" w:line="250"/>
            </w:pPr>
            <w:r>
              <w:rPr>
                <w:color w:val="1A1A1A"/>
                <w:sz w:val="19"/>
                <w:szCs w:val="19"/>
              </w:rPr>
              <w:t xml:space="preserve">60</w:t>
            </w:r>
          </w:p>
        </w:tc>
      </w:tr>
      <w:tr>
        <w:trPr>
          <w:tblHeader w:val="false"/>
        </w:trPr>
        <w:tc>
          <w:tcPr>
            <w:tcW w:type="dxa" w:w="2100"/>
            <w:shd w:fill="F3F6F4" w:color="auto" w:val="clear"/>
            <w:tcMar>
              <w:top w:type="dxa" w:w="70"/>
              <w:left w:type="dxa" w:w="100"/>
              <w:bottom w:type="dxa" w:w="70"/>
              <w:right w:type="dxa" w:w="100"/>
            </w:tcMar>
          </w:tcPr>
          <w:p>
            <w:pPr>
              <w:spacing w:after="0" w:line="250"/>
            </w:pPr>
            <w:r>
              <w:rPr>
                <w:color w:val="1A1A1A"/>
                <w:sz w:val="19"/>
                <w:szCs w:val="19"/>
              </w:rPr>
              <w:t xml:space="preserve">Mobile contract</w:t>
            </w:r>
          </w:p>
        </w:tc>
        <w:tc>
          <w:tcPr>
            <w:tcW w:type="dxa" w:w="5320"/>
            <w:shd w:fill="F3F6F4" w:color="auto" w:val="clear"/>
            <w:tcMar>
              <w:top w:type="dxa" w:w="70"/>
              <w:left w:type="dxa" w:w="100"/>
              <w:bottom w:type="dxa" w:w="70"/>
              <w:right w:type="dxa" w:w="100"/>
            </w:tcMar>
          </w:tcPr>
          <w:p>
            <w:pPr>
              <w:spacing w:after="0" w:line="250"/>
            </w:pPr>
            <w:r>
              <w:rPr>
                <w:color w:val="1A1A1A"/>
                <w:sz w:val="19"/>
                <w:szCs w:val="19"/>
              </w:rPr>
              <w:t xml:space="preserve">Every endpoint the app calls, in app order, asserting the exact response fields each screen reads</w:t>
            </w:r>
          </w:p>
        </w:tc>
        <w:tc>
          <w:tcPr>
            <w:tcW w:type="dxa" w:w="1600"/>
            <w:shd w:fill="F3F6F4" w:color="auto" w:val="clear"/>
            <w:tcMar>
              <w:top w:type="dxa" w:w="70"/>
              <w:left w:type="dxa" w:w="100"/>
              <w:bottom w:type="dxa" w:w="70"/>
              <w:right w:type="dxa" w:w="100"/>
            </w:tcMar>
          </w:tcPr>
          <w:p>
            <w:pPr>
              <w:spacing w:after="0" w:line="250"/>
            </w:pPr>
            <w:r>
              <w:rPr>
                <w:color w:val="1A1A1A"/>
                <w:sz w:val="19"/>
                <w:szCs w:val="19"/>
              </w:rPr>
              <w:t xml:space="preserve">37</w:t>
            </w:r>
          </w:p>
        </w:tc>
      </w:tr>
      <w:tr>
        <w:trPr>
          <w:tblHeader w:val="false"/>
        </w:trPr>
        <w:tc>
          <w:tcPr>
            <w:tcW w:type="dxa" w:w="2100"/>
            <w:tcMar>
              <w:top w:type="dxa" w:w="70"/>
              <w:left w:type="dxa" w:w="100"/>
              <w:bottom w:type="dxa" w:w="70"/>
              <w:right w:type="dxa" w:w="100"/>
            </w:tcMar>
          </w:tcPr>
          <w:p>
            <w:pPr>
              <w:spacing w:after="0" w:line="250"/>
            </w:pPr>
            <w:r>
              <w:rPr>
                <w:color w:val="1A1A1A"/>
                <w:sz w:val="19"/>
                <w:szCs w:val="19"/>
              </w:rPr>
              <w:t xml:space="preserve">Admin &amp; adversarial</w:t>
            </w:r>
          </w:p>
        </w:tc>
        <w:tc>
          <w:tcPr>
            <w:tcW w:type="dxa" w:w="5320"/>
            <w:tcMar>
              <w:top w:type="dxa" w:w="70"/>
              <w:left w:type="dxa" w:w="100"/>
              <w:bottom w:type="dxa" w:w="70"/>
              <w:right w:type="dxa" w:w="100"/>
            </w:tcMar>
          </w:tcPr>
          <w:p>
            <w:pPr>
              <w:spacing w:after="0" w:line="250"/>
            </w:pPr>
            <w:r>
              <w:rPr>
                <w:color w:val="1A1A1A"/>
                <w:sz w:val="19"/>
                <w:szCs w:val="19"/>
              </w:rPr>
              <w:t xml:space="preserve">All admin endpoints, authentication rejection, ten live attack scenarios, post-attack integrity</w:t>
            </w:r>
          </w:p>
        </w:tc>
        <w:tc>
          <w:tcPr>
            <w:tcW w:type="dxa" w:w="1600"/>
            <w:tcMar>
              <w:top w:type="dxa" w:w="70"/>
              <w:left w:type="dxa" w:w="100"/>
              <w:bottom w:type="dxa" w:w="70"/>
              <w:right w:type="dxa" w:w="100"/>
            </w:tcMar>
          </w:tcPr>
          <w:p>
            <w:pPr>
              <w:spacing w:after="0" w:line="250"/>
            </w:pPr>
            <w:r>
              <w:rPr>
                <w:color w:val="1A1A1A"/>
                <w:sz w:val="19"/>
                <w:szCs w:val="19"/>
              </w:rPr>
              <w:t xml:space="preserve">35</w:t>
            </w:r>
          </w:p>
        </w:tc>
      </w:tr>
      <w:tr>
        <w:trPr>
          <w:tblHeader w:val="false"/>
        </w:trPr>
        <w:tc>
          <w:tcPr>
            <w:tcW w:type="dxa" w:w="2100"/>
            <w:shd w:fill="F3F6F4" w:color="auto" w:val="clear"/>
            <w:tcMar>
              <w:top w:type="dxa" w:w="70"/>
              <w:left w:type="dxa" w:w="100"/>
              <w:bottom w:type="dxa" w:w="70"/>
              <w:right w:type="dxa" w:w="100"/>
            </w:tcMar>
          </w:tcPr>
          <w:p>
            <w:pPr>
              <w:spacing w:after="0" w:line="250"/>
            </w:pPr>
            <w:r>
              <w:rPr>
                <w:color w:val="1A1A1A"/>
                <w:sz w:val="19"/>
                <w:szCs w:val="19"/>
              </w:rPr>
              <w:t xml:space="preserve">Audit layer</w:t>
            </w:r>
          </w:p>
        </w:tc>
        <w:tc>
          <w:tcPr>
            <w:tcW w:type="dxa" w:w="5320"/>
            <w:shd w:fill="F3F6F4" w:color="auto" w:val="clear"/>
            <w:tcMar>
              <w:top w:type="dxa" w:w="70"/>
              <w:left w:type="dxa" w:w="100"/>
              <w:bottom w:type="dxa" w:w="70"/>
              <w:right w:type="dxa" w:w="100"/>
            </w:tcMar>
          </w:tcPr>
          <w:p>
            <w:pPr>
              <w:spacing w:after="0" w:line="250"/>
            </w:pPr>
            <w:r>
              <w:rPr>
                <w:color w:val="1A1A1A"/>
                <w:sz w:val="19"/>
                <w:szCs w:val="19"/>
              </w:rPr>
              <w:t xml:space="preserve">Hash chain, signatures, replica consensus, recovery paths</w:t>
            </w:r>
          </w:p>
        </w:tc>
        <w:tc>
          <w:tcPr>
            <w:tcW w:type="dxa" w:w="1600"/>
            <w:shd w:fill="F3F6F4" w:color="auto" w:val="clear"/>
            <w:tcMar>
              <w:top w:type="dxa" w:w="70"/>
              <w:left w:type="dxa" w:w="100"/>
              <w:bottom w:type="dxa" w:w="70"/>
              <w:right w:type="dxa" w:w="100"/>
            </w:tcMar>
          </w:tcPr>
          <w:p>
            <w:pPr>
              <w:spacing w:after="0" w:line="250"/>
            </w:pPr>
            <w:r>
              <w:rPr>
                <w:color w:val="1A1A1A"/>
                <w:sz w:val="19"/>
                <w:szCs w:val="19"/>
              </w:rPr>
              <w:t xml:space="preserve">36</w:t>
            </w:r>
          </w:p>
        </w:tc>
      </w:tr>
    </w:tbl>
    <w:p>
      <w:pPr>
        <w:spacing w:after="160"/>
      </w:pPr>
    </w:p>
    <w:p>
      <w:pPr>
        <w:spacing w:after="120" w:line="276"/>
      </w:pPr>
      <w:r>
        <w:rPr>
          <w:b w:val="false"/>
          <w:bCs w:val="false"/>
          <w:i w:val="false"/>
          <w:iCs w:val="false"/>
          <w:color w:val="1A1A1A"/>
          <w:sz w:val="21"/>
          <w:szCs w:val="21"/>
        </w:rPr>
        <w:t xml:space="preserve">Suites run against a live backend rather than mocks, which is what makes them catch contract drift — an endpoint returning HTTP 200 with a renamed field passes a unit test and renders a blank card in the app.</w:t>
      </w:r>
    </w:p>
    <w:tbl>
      <w:tblPr>
        <w:tblW w:type="dxa" w:w="9020"/>
        <w:tblBorders>
          <w:top w:val="none"/>
          <w:left w:val="single" w:color="8A6D12" w:sz="18"/>
          <w:bottom w:val="none"/>
          <w:right w:val="none"/>
          <w:insideH w:val="none"/>
          <w:insideV w:val="none"/>
        </w:tblBorders>
      </w:tblPr>
      <w:tblGrid>
        <w:gridCol w:w="9020"/>
      </w:tblGrid>
      <w:tr>
        <w:tc>
          <w:tcPr>
            <w:tcW w:type="dxa" w:w="9020"/>
            <w:shd w:fill="F3F6F4" w:color="auto" w:val="clear"/>
            <w:tcMar>
              <w:top w:type="dxa" w:w="110"/>
              <w:left w:type="dxa" w:w="150"/>
              <w:bottom w:type="dxa" w:w="110"/>
              <w:right w:type="dxa" w:w="130"/>
            </w:tcMar>
          </w:tcPr>
          <w:p>
            <w:pPr>
              <w:spacing w:after="0" w:line="268"/>
            </w:pPr>
            <w:r>
              <w:rPr>
                <w:b/>
                <w:bCs/>
                <w:color w:val="0B5D3B"/>
                <w:sz w:val="20"/>
                <w:szCs w:val="20"/>
              </w:rPr>
              <w:t xml:space="preserve">A testing lesson worth telling.  </w:t>
            </w:r>
            <w:r>
              <w:rPr>
                <w:color w:val="1A1A1A"/>
                <w:sz w:val="20"/>
                <w:szCs w:val="20"/>
              </w:rPr>
              <w:t xml:space="preserve">The novelty-detector check originally asserted only that an anomalous transaction scored higher than a normal one. That remained true while the detector was flagging every transaction, so the suite reported PASS on a detector that would have challenged every customer. It now asserts both directions — quiet on normal activity as well as loud on anomalies. Relative ordering is not evidence; a detector that alarms on everything is worse than one that alarms on nothing, because it trains people to dismiss warnings.</w:t>
            </w:r>
          </w:p>
        </w:tc>
      </w:tr>
    </w:tbl>
    <w:p>
      <w:pPr>
        <w:spacing w:after="160"/>
      </w:pPr>
    </w:p>
    <w:p>
      <w:r>
        <w:br w:type="page"/>
      </w:r>
    </w:p>
    <w:p>
      <w:pPr>
        <w:pStyle w:val="Heading1"/>
        <w:spacing w:after="140" w:before="360"/>
      </w:pPr>
      <w:r>
        <w:t xml:space="preserve">10.  Engineering problems solved</w:t>
      </w:r>
    </w:p>
    <w:p>
      <w:pPr>
        <w:spacing w:after="120" w:line="276"/>
      </w:pPr>
      <w:r>
        <w:rPr>
          <w:b w:val="false"/>
          <w:bCs w:val="false"/>
          <w:i w:val="false"/>
          <w:iCs w:val="false"/>
          <w:color w:val="1A1A1A"/>
          <w:sz w:val="21"/>
          <w:szCs w:val="21"/>
        </w:rPr>
        <w:t xml:space="preserve">These are the incidents most worth rehearsing before an interview. Each is a real defect found and fixed, with a transferable lesson.</w:t>
      </w:r>
    </w:p>
    <w:p>
      <w:pPr>
        <w:pStyle w:val="Heading3"/>
        <w:spacing w:after="80" w:before="180"/>
      </w:pPr>
      <w:r>
        <w:t xml:space="preserve">10.1  Feature-contract mismatch between training and inference</w:t>
      </w:r>
    </w:p>
    <w:p>
      <w:pPr>
        <w:spacing w:after="120" w:line="276"/>
      </w:pPr>
      <w:r>
        <w:rPr>
          <w:b/>
          <w:bCs/>
          <w:i w:val="false"/>
          <w:iCs w:val="false"/>
          <w:color w:val="1A1A1A"/>
          <w:sz w:val="21"/>
          <w:szCs w:val="21"/>
        </w:rPr>
        <w:t xml:space="preserve">Symptom.  </w:t>
      </w:r>
      <w:r>
        <w:rPr>
          <w:b w:val="false"/>
          <w:bCs w:val="false"/>
          <w:i w:val="false"/>
          <w:iCs w:val="false"/>
          <w:color w:val="1A1A1A"/>
          <w:sz w:val="21"/>
          <w:szCs w:val="21"/>
        </w:rPr>
        <w:t xml:space="preserve">The trained autoencoder was scoring every transaction as anomalous — reconstruction error roughly 5,000× the calibrated threshold — so an ordinary ₹4,000 investment was being challenged.</w:t>
      </w:r>
    </w:p>
    <w:p>
      <w:pPr>
        <w:spacing w:after="120" w:line="276"/>
      </w:pPr>
      <w:r>
        <w:rPr>
          <w:b/>
          <w:bCs/>
          <w:i w:val="false"/>
          <w:iCs w:val="false"/>
          <w:color w:val="1A1A1A"/>
          <w:sz w:val="21"/>
          <w:szCs w:val="21"/>
        </w:rPr>
        <w:t xml:space="preserve">Cause.  </w:t>
      </w:r>
      <w:r>
        <w:rPr>
          <w:b w:val="false"/>
          <w:bCs w:val="false"/>
          <w:i w:val="false"/>
          <w:iCs w:val="false"/>
          <w:color w:val="1A1A1A"/>
          <w:sz w:val="21"/>
          <w:szCs w:val="21"/>
        </w:rPr>
        <w:t xml:space="preserve">The model had been trained on a 22-feature vector that differed from the one the runtime built. Only four names overlapped and none shared a position, so the scaler was applying one feature's mean and standard deviation to a completely different feature.</w:t>
      </w:r>
    </w:p>
    <w:p>
      <w:pPr>
        <w:spacing w:after="120" w:line="276"/>
      </w:pPr>
      <w:r>
        <w:rPr>
          <w:b/>
          <w:bCs/>
          <w:i w:val="false"/>
          <w:iCs w:val="false"/>
          <w:color w:val="1A1A1A"/>
          <w:sz w:val="21"/>
          <w:szCs w:val="21"/>
        </w:rPr>
        <w:t xml:space="preserve">Fix.  </w:t>
      </w:r>
      <w:r>
        <w:rPr>
          <w:b w:val="false"/>
          <w:bCs w:val="false"/>
          <w:i w:val="false"/>
          <w:iCs w:val="false"/>
          <w:color w:val="1A1A1A"/>
          <w:sz w:val="21"/>
          <w:szCs w:val="21"/>
        </w:rPr>
        <w:t xml:space="preserve">Compared the saved feature columns against the runtime builder, found the ordering divergence, and routed the detector through the same adapter the fraud classifier already used. Added a load-time contract check that raises on mismatch so the pipeline falls back to a statistical detector rather than scoring nonsense.</w:t>
      </w:r>
    </w:p>
    <w:p>
      <w:pPr>
        <w:spacing w:after="200" w:line="276"/>
      </w:pPr>
      <w:r>
        <w:rPr>
          <w:b/>
          <w:bCs/>
          <w:i w:val="false"/>
          <w:iCs w:val="false"/>
          <w:color w:val="0B5D3B"/>
          <w:sz w:val="21"/>
          <w:szCs w:val="21"/>
        </w:rPr>
        <w:t xml:space="preserve">Lesson.  </w:t>
      </w:r>
      <w:r>
        <w:rPr>
          <w:b w:val="false"/>
          <w:bCs w:val="false"/>
          <w:i/>
          <w:iCs/>
          <w:color w:val="0B5D3B"/>
          <w:sz w:val="21"/>
          <w:szCs w:val="21"/>
        </w:rPr>
        <w:t xml:space="preserve">A model that loads is not a model that works. Serialised artifacts carry an implicit contract with their feature pipeline, and that contract needs an explicit assertion.</w:t>
      </w:r>
    </w:p>
    <w:p>
      <w:pPr>
        <w:pStyle w:val="Heading3"/>
        <w:spacing w:after="80" w:before="180"/>
      </w:pPr>
      <w:r>
        <w:t xml:space="preserve">10.2  A test that passed on a broken system</w:t>
      </w:r>
    </w:p>
    <w:p>
      <w:pPr>
        <w:spacing w:after="120" w:line="276"/>
      </w:pPr>
      <w:r>
        <w:rPr>
          <w:b/>
          <w:bCs/>
          <w:i w:val="false"/>
          <w:iCs w:val="false"/>
          <w:color w:val="1A1A1A"/>
          <w:sz w:val="21"/>
          <w:szCs w:val="21"/>
        </w:rPr>
        <w:t xml:space="preserve">Symptom.  </w:t>
      </w:r>
      <w:r>
        <w:rPr>
          <w:b w:val="false"/>
          <w:bCs w:val="false"/>
          <w:i w:val="false"/>
          <w:iCs w:val="false"/>
          <w:color w:val="1A1A1A"/>
          <w:sz w:val="21"/>
          <w:szCs w:val="21"/>
        </w:rPr>
        <w:t xml:space="preserve">All suites were green while the novelty detector was flagging 100% of transactions.</w:t>
      </w:r>
    </w:p>
    <w:p>
      <w:pPr>
        <w:spacing w:after="120" w:line="276"/>
      </w:pPr>
      <w:r>
        <w:rPr>
          <w:b/>
          <w:bCs/>
          <w:i w:val="false"/>
          <w:iCs w:val="false"/>
          <w:color w:val="1A1A1A"/>
          <w:sz w:val="21"/>
          <w:szCs w:val="21"/>
        </w:rPr>
        <w:t xml:space="preserve">Cause.  </w:t>
      </w:r>
      <w:r>
        <w:rPr>
          <w:b w:val="false"/>
          <w:bCs w:val="false"/>
          <w:i w:val="false"/>
          <w:iCs w:val="false"/>
          <w:color w:val="1A1A1A"/>
          <w:sz w:val="21"/>
          <w:szCs w:val="21"/>
        </w:rPr>
        <w:t xml:space="preserve">The check asserted only that an anomalous transaction scored higher than a normal one — true even when everything is flagged.</w:t>
      </w:r>
    </w:p>
    <w:p>
      <w:pPr>
        <w:spacing w:after="120" w:line="276"/>
      </w:pPr>
      <w:r>
        <w:rPr>
          <w:b/>
          <w:bCs/>
          <w:i w:val="false"/>
          <w:iCs w:val="false"/>
          <w:color w:val="1A1A1A"/>
          <w:sz w:val="21"/>
          <w:szCs w:val="21"/>
        </w:rPr>
        <w:t xml:space="preserve">Fix.  </w:t>
      </w:r>
      <w:r>
        <w:rPr>
          <w:b w:val="false"/>
          <w:bCs w:val="false"/>
          <w:i w:val="false"/>
          <w:iCs w:val="false"/>
          <w:color w:val="1A1A1A"/>
          <w:sz w:val="21"/>
          <w:szCs w:val="21"/>
        </w:rPr>
        <w:t xml:space="preserve">Rewrote it to assert both directions: normal must classify as normal, and anomalous must separate from it. The failure message names the likely cause.</w:t>
      </w:r>
    </w:p>
    <w:p>
      <w:pPr>
        <w:spacing w:after="200" w:line="276"/>
      </w:pPr>
      <w:r>
        <w:rPr>
          <w:b/>
          <w:bCs/>
          <w:i w:val="false"/>
          <w:iCs w:val="false"/>
          <w:color w:val="0B5D3B"/>
          <w:sz w:val="21"/>
          <w:szCs w:val="21"/>
        </w:rPr>
        <w:t xml:space="preserve">Lesson.  </w:t>
      </w:r>
      <w:r>
        <w:rPr>
          <w:b w:val="false"/>
          <w:bCs w:val="false"/>
          <w:i/>
          <w:iCs/>
          <w:color w:val="0B5D3B"/>
          <w:sz w:val="21"/>
          <w:szCs w:val="21"/>
        </w:rPr>
        <w:t xml:space="preserve">Assertions must encode the property you actually care about. Relative comparisons hide absolute failures.</w:t>
      </w:r>
    </w:p>
    <w:p>
      <w:pPr>
        <w:pStyle w:val="Heading3"/>
        <w:spacing w:after="80" w:before="180"/>
      </w:pPr>
      <w:r>
        <w:t xml:space="preserve">10.3  Derived financial metrics wrong by a factor of three</w:t>
      </w:r>
    </w:p>
    <w:p>
      <w:pPr>
        <w:spacing w:after="120" w:line="276"/>
      </w:pPr>
      <w:r>
        <w:rPr>
          <w:b/>
          <w:bCs/>
          <w:i w:val="false"/>
          <w:iCs w:val="false"/>
          <w:color w:val="1A1A1A"/>
          <w:sz w:val="21"/>
          <w:szCs w:val="21"/>
        </w:rPr>
        <w:t xml:space="preserve">Symptom.  </w:t>
      </w:r>
      <w:r>
        <w:rPr>
          <w:b w:val="false"/>
          <w:bCs w:val="false"/>
          <w:i w:val="false"/>
          <w:iCs w:val="false"/>
          <w:color w:val="1A1A1A"/>
          <w:sz w:val="21"/>
          <w:szCs w:val="21"/>
        </w:rPr>
        <w:t xml:space="preserve">Every customer received the same 'build an emergency fund' recommendation regardless of their finances, and the wealth engine appeared broken.</w:t>
      </w:r>
    </w:p>
    <w:p>
      <w:pPr>
        <w:spacing w:after="120" w:line="276"/>
      </w:pPr>
      <w:r>
        <w:rPr>
          <w:b/>
          <w:bCs/>
          <w:i w:val="false"/>
          <w:iCs w:val="false"/>
          <w:color w:val="1A1A1A"/>
          <w:sz w:val="21"/>
          <w:szCs w:val="21"/>
        </w:rPr>
        <w:t xml:space="preserve">Cause.  </w:t>
      </w:r>
      <w:r>
        <w:rPr>
          <w:b w:val="false"/>
          <w:bCs w:val="false"/>
          <w:i w:val="false"/>
          <w:iCs w:val="false"/>
          <w:color w:val="1A1A1A"/>
          <w:sz w:val="21"/>
          <w:szCs w:val="21"/>
        </w:rPr>
        <w:t xml:space="preserve">The cash-flow function summed the account's entire history with no time window, and the profile builder mapped that total directly onto a monthly figure. With 90 days of data, every derived metric — runway, emergency-fund target, debt-to-income — was three times off. A customer with five months of savings read as having 2.5 and triggered the emergency branch.</w:t>
      </w:r>
    </w:p>
    <w:p>
      <w:pPr>
        <w:spacing w:after="120" w:line="276"/>
      </w:pPr>
      <w:r>
        <w:rPr>
          <w:b/>
          <w:bCs/>
          <w:i w:val="false"/>
          <w:iCs w:val="false"/>
          <w:color w:val="1A1A1A"/>
          <w:sz w:val="21"/>
          <w:szCs w:val="21"/>
        </w:rPr>
        <w:t xml:space="preserve">Fix.  </w:t>
      </w:r>
      <w:r>
        <w:rPr>
          <w:b w:val="false"/>
          <w:bCs w:val="false"/>
          <w:i w:val="false"/>
          <w:iCs w:val="false"/>
          <w:color w:val="1A1A1A"/>
          <w:sz w:val="21"/>
          <w:szCs w:val="21"/>
        </w:rPr>
        <w:t xml:space="preserve">Windowed the calculation to a rolling 30 days, excluded investments from income entirely (they had been inflating it every time anyone invested), and made the monthly figures explicit in the response schema rather than implied by a field name.</w:t>
      </w:r>
    </w:p>
    <w:p>
      <w:pPr>
        <w:spacing w:after="200" w:line="276"/>
      </w:pPr>
      <w:r>
        <w:rPr>
          <w:b/>
          <w:bCs/>
          <w:i w:val="false"/>
          <w:iCs w:val="false"/>
          <w:color w:val="0B5D3B"/>
          <w:sz w:val="21"/>
          <w:szCs w:val="21"/>
        </w:rPr>
        <w:t xml:space="preserve">Lesson.  </w:t>
      </w:r>
      <w:r>
        <w:rPr>
          <w:b w:val="false"/>
          <w:bCs w:val="false"/>
          <w:i/>
          <w:iCs/>
          <w:color w:val="0B5D3B"/>
          <w:sz w:val="21"/>
          <w:szCs w:val="21"/>
        </w:rPr>
        <w:t xml:space="preserve">The engine was correct throughout; the data it was handed could not vary. When every input produces the same output, suspect the input.</w:t>
      </w:r>
    </w:p>
    <w:p>
      <w:pPr>
        <w:pStyle w:val="Heading3"/>
        <w:spacing w:after="80" w:before="180"/>
      </w:pPr>
      <w:r>
        <w:t xml:space="preserve">10.4  Adversarial suite attacking the wrong target</w:t>
      </w:r>
    </w:p>
    <w:p>
      <w:pPr>
        <w:spacing w:after="120" w:line="276"/>
      </w:pPr>
      <w:r>
        <w:rPr>
          <w:b/>
          <w:bCs/>
          <w:i w:val="false"/>
          <w:iCs w:val="false"/>
          <w:color w:val="1A1A1A"/>
          <w:sz w:val="21"/>
          <w:szCs w:val="21"/>
        </w:rPr>
        <w:t xml:space="preserve">Symptom.  </w:t>
      </w:r>
      <w:r>
        <w:rPr>
          <w:b w:val="false"/>
          <w:bCs w:val="false"/>
          <w:i w:val="false"/>
          <w:iCs w:val="false"/>
          <w:color w:val="1A1A1A"/>
          <w:sz w:val="21"/>
          <w:szCs w:val="21"/>
        </w:rPr>
        <w:t xml:space="preserve">The flagship 'account takeover' scenario reported BREACHED — a large transfer was allowed through.</w:t>
      </w:r>
    </w:p>
    <w:p>
      <w:pPr>
        <w:spacing w:after="120" w:line="276"/>
      </w:pPr>
      <w:r>
        <w:rPr>
          <w:b/>
          <w:bCs/>
          <w:i w:val="false"/>
          <w:iCs w:val="false"/>
          <w:color w:val="1A1A1A"/>
          <w:sz w:val="21"/>
          <w:szCs w:val="21"/>
        </w:rPr>
        <w:t xml:space="preserve">Cause.  </w:t>
      </w:r>
      <w:r>
        <w:rPr>
          <w:b w:val="false"/>
          <w:bCs w:val="false"/>
          <w:i w:val="false"/>
          <w:iCs w:val="false"/>
          <w:color w:val="1A1A1A"/>
          <w:sz w:val="21"/>
          <w:szCs w:val="21"/>
        </w:rPr>
        <w:t xml:space="preserve">The scenario selected its victim as the oldest customer in the database. Contract tests register throwaway customers and never delete them, and the seeding script deletes and recreates the real personas — so after every reseed a test account was older than the intended target. The scenario was attacking an account with four transactions, where '25× normal' is not an outlier. The pipeline correctly allowed it.</w:t>
      </w:r>
    </w:p>
    <w:p>
      <w:pPr>
        <w:spacing w:after="120" w:line="276"/>
      </w:pPr>
      <w:r>
        <w:rPr>
          <w:b/>
          <w:bCs/>
          <w:i w:val="false"/>
          <w:iCs w:val="false"/>
          <w:color w:val="1A1A1A"/>
          <w:sz w:val="21"/>
          <w:szCs w:val="21"/>
        </w:rPr>
        <w:t xml:space="preserve">Fix.  </w:t>
      </w:r>
      <w:r>
        <w:rPr>
          <w:b w:val="false"/>
          <w:bCs w:val="false"/>
          <w:i w:val="false"/>
          <w:iCs w:val="false"/>
          <w:color w:val="1A1A1A"/>
          <w:sz w:val="21"/>
          <w:szCs w:val="21"/>
        </w:rPr>
        <w:t xml:space="preserve">Targeted the seeded persona explicitly, restricted the baseline median to investment transactions, and selected the account by highest balance rather than arbitrary row order.</w:t>
      </w:r>
    </w:p>
    <w:p>
      <w:pPr>
        <w:spacing w:after="200" w:line="276"/>
      </w:pPr>
      <w:r>
        <w:rPr>
          <w:b/>
          <w:bCs/>
          <w:i w:val="false"/>
          <w:iCs w:val="false"/>
          <w:color w:val="0B5D3B"/>
          <w:sz w:val="21"/>
          <w:szCs w:val="21"/>
        </w:rPr>
        <w:t xml:space="preserve">Lesson.  </w:t>
      </w:r>
      <w:r>
        <w:rPr>
          <w:b w:val="false"/>
          <w:bCs w:val="false"/>
          <w:i/>
          <w:iCs/>
          <w:color w:val="0B5D3B"/>
          <w:sz w:val="21"/>
          <w:szCs w:val="21"/>
        </w:rPr>
        <w:t xml:space="preserve">When a security test fails, establish whether the system or the test is wrong before changing the system. Here the defence was right and the measurement was wrong.</w:t>
      </w:r>
    </w:p>
    <w:p>
      <w:pPr>
        <w:pStyle w:val="Heading3"/>
        <w:spacing w:after="80" w:before="180"/>
      </w:pPr>
      <w:r>
        <w:t xml:space="preserve">10.5  A silent dependency that degraded the product</w:t>
      </w:r>
    </w:p>
    <w:p>
      <w:pPr>
        <w:spacing w:after="120" w:line="276"/>
      </w:pPr>
      <w:r>
        <w:rPr>
          <w:b/>
          <w:bCs/>
          <w:i w:val="false"/>
          <w:iCs w:val="false"/>
          <w:color w:val="1A1A1A"/>
          <w:sz w:val="21"/>
          <w:szCs w:val="21"/>
        </w:rPr>
        <w:t xml:space="preserve">Symptom.  </w:t>
      </w:r>
      <w:r>
        <w:rPr>
          <w:b w:val="false"/>
          <w:bCs w:val="false"/>
          <w:i w:val="false"/>
          <w:iCs w:val="false"/>
          <w:color w:val="1A1A1A"/>
          <w:sz w:val="21"/>
          <w:szCs w:val="21"/>
        </w:rPr>
        <w:t xml:space="preserve">The fraud model would fail to load on a clean install, and the pipeline would fall back to rules-only scoring with no visible error.</w:t>
      </w:r>
    </w:p>
    <w:p>
      <w:pPr>
        <w:spacing w:after="120" w:line="276"/>
      </w:pPr>
      <w:r>
        <w:rPr>
          <w:b/>
          <w:bCs/>
          <w:i w:val="false"/>
          <w:iCs w:val="false"/>
          <w:color w:val="1A1A1A"/>
          <w:sz w:val="21"/>
          <w:szCs w:val="21"/>
        </w:rPr>
        <w:t xml:space="preserve">Cause.  </w:t>
      </w:r>
      <w:r>
        <w:rPr>
          <w:b w:val="false"/>
          <w:bCs w:val="false"/>
          <w:i w:val="false"/>
          <w:iCs w:val="false"/>
          <w:color w:val="1A1A1A"/>
          <w:sz w:val="21"/>
          <w:szCs w:val="21"/>
        </w:rPr>
        <w:t xml:space="preserve">XGBoost and scikit-learn were absent from the dependency manifest. No module imports them by name — they are pulled in implicitly when the pickled model is deserialised — so a clean install started successfully and quietly ran a weaker system.</w:t>
      </w:r>
    </w:p>
    <w:p>
      <w:pPr>
        <w:spacing w:after="120" w:line="276"/>
      </w:pPr>
      <w:r>
        <w:rPr>
          <w:b/>
          <w:bCs/>
          <w:i w:val="false"/>
          <w:iCs w:val="false"/>
          <w:color w:val="1A1A1A"/>
          <w:sz w:val="21"/>
          <w:szCs w:val="21"/>
        </w:rPr>
        <w:t xml:space="preserve">Fix.  </w:t>
      </w:r>
      <w:r>
        <w:rPr>
          <w:b w:val="false"/>
          <w:bCs w:val="false"/>
          <w:i w:val="false"/>
          <w:iCs w:val="false"/>
          <w:color w:val="1A1A1A"/>
          <w:sz w:val="21"/>
          <w:szCs w:val="21"/>
        </w:rPr>
        <w:t xml:space="preserve">Declared both as explicit runtime dependencies with a comment recording why they are invisible to static analysis.</w:t>
      </w:r>
    </w:p>
    <w:p>
      <w:pPr>
        <w:spacing w:after="200" w:line="276"/>
      </w:pPr>
      <w:r>
        <w:rPr>
          <w:b/>
          <w:bCs/>
          <w:i w:val="false"/>
          <w:iCs w:val="false"/>
          <w:color w:val="0B5D3B"/>
          <w:sz w:val="21"/>
          <w:szCs w:val="21"/>
        </w:rPr>
        <w:t xml:space="preserve">Lesson.  </w:t>
      </w:r>
      <w:r>
        <w:rPr>
          <w:b w:val="false"/>
          <w:bCs w:val="false"/>
          <w:i/>
          <w:iCs/>
          <w:color w:val="0B5D3B"/>
          <w:sz w:val="21"/>
          <w:szCs w:val="21"/>
        </w:rPr>
        <w:t xml:space="preserve">Implicit dependencies of serialised artifacts are real dependencies. The dangerous failure is the one that starts cleanly.</w:t>
      </w:r>
    </w:p>
    <w:p>
      <w:pPr>
        <w:pStyle w:val="Heading3"/>
        <w:spacing w:after="80" w:before="180"/>
      </w:pPr>
      <w:r>
        <w:t xml:space="preserve">10.6  Feature complete at every layer except the one that mattered</w:t>
      </w:r>
    </w:p>
    <w:p>
      <w:pPr>
        <w:spacing w:after="120" w:line="276"/>
      </w:pPr>
      <w:r>
        <w:rPr>
          <w:b/>
          <w:bCs/>
          <w:i w:val="false"/>
          <w:iCs w:val="false"/>
          <w:color w:val="1A1A1A"/>
          <w:sz w:val="21"/>
          <w:szCs w:val="21"/>
        </w:rPr>
        <w:t xml:space="preserve">Symptom.  </w:t>
      </w:r>
      <w:r>
        <w:rPr>
          <w:b w:val="false"/>
          <w:bCs w:val="false"/>
          <w:i w:val="false"/>
          <w:iCs w:val="false"/>
          <w:color w:val="1A1A1A"/>
          <w:sz w:val="21"/>
          <w:szCs w:val="21"/>
        </w:rPr>
        <w:t xml:space="preserve">Switching the app to Hindi or Punjabi translated all 260 interface strings but left the wealth advice in English.</w:t>
      </w:r>
    </w:p>
    <w:p>
      <w:pPr>
        <w:spacing w:after="120" w:line="276"/>
      </w:pPr>
      <w:r>
        <w:rPr>
          <w:b/>
          <w:bCs/>
          <w:i w:val="false"/>
          <w:iCs w:val="false"/>
          <w:color w:val="1A1A1A"/>
          <w:sz w:val="21"/>
          <w:szCs w:val="21"/>
        </w:rPr>
        <w:t xml:space="preserve">Cause.  </w:t>
      </w:r>
      <w:r>
        <w:rPr>
          <w:b w:val="false"/>
          <w:bCs w:val="false"/>
          <w:i w:val="false"/>
          <w:iCs w:val="false"/>
          <w:color w:val="1A1A1A"/>
          <w:sz w:val="21"/>
          <w:szCs w:val="21"/>
        </w:rPr>
        <w:t xml:space="preserve">The gap ran through four layers: no language field on the request schema, no handling in the endpoint, no entries in the localisation catalog, and neither screen passing the selected language. Other explanation types were localised, which made the omission easy to miss.</w:t>
      </w:r>
    </w:p>
    <w:p>
      <w:pPr>
        <w:spacing w:after="120" w:line="276"/>
      </w:pPr>
      <w:r>
        <w:rPr>
          <w:b/>
          <w:bCs/>
          <w:i w:val="false"/>
          <w:iCs w:val="false"/>
          <w:color w:val="1A1A1A"/>
          <w:sz w:val="21"/>
          <w:szCs w:val="21"/>
        </w:rPr>
        <w:t xml:space="preserve">Fix.  </w:t>
      </w:r>
      <w:r>
        <w:rPr>
          <w:b w:val="false"/>
          <w:bCs w:val="false"/>
          <w:i w:val="false"/>
          <w:iCs w:val="false"/>
          <w:color w:val="1A1A1A"/>
          <w:sz w:val="21"/>
          <w:szCs w:val="21"/>
        </w:rPr>
        <w:t xml:space="preserve">Added catalog entries in all three languages for eight recommendation types and three device-trust states, wired language end to end, and made both screens refetch on language change.</w:t>
      </w:r>
    </w:p>
    <w:p>
      <w:pPr>
        <w:spacing w:after="200" w:line="276"/>
      </w:pPr>
      <w:r>
        <w:rPr>
          <w:b/>
          <w:bCs/>
          <w:i w:val="false"/>
          <w:iCs w:val="false"/>
          <w:color w:val="0B5D3B"/>
          <w:sz w:val="21"/>
          <w:szCs w:val="21"/>
        </w:rPr>
        <w:t xml:space="preserve">Lesson.  </w:t>
      </w:r>
      <w:r>
        <w:rPr>
          <w:b w:val="false"/>
          <w:bCs w:val="false"/>
          <w:i/>
          <w:iCs/>
          <w:color w:val="0B5D3B"/>
          <w:sz w:val="21"/>
          <w:szCs w:val="21"/>
        </w:rPr>
        <w:t xml:space="preserve">Partial internationalisation is a specific failure mode: the chrome translates and the content does not, which is exactly backwards from what a user needs.</w:t>
      </w:r>
    </w:p>
    <w:p>
      <w:pPr>
        <w:pStyle w:val="Heading1"/>
        <w:spacing w:after="140" w:before="360"/>
      </w:pPr>
      <w:r>
        <w:t xml:space="preserve">11.  Known limitations</w:t>
      </w:r>
    </w:p>
    <w:p>
      <w:pPr>
        <w:spacing w:after="120" w:line="276"/>
      </w:pPr>
      <w:r>
        <w:rPr>
          <w:b w:val="false"/>
          <w:bCs w:val="false"/>
          <w:i w:val="false"/>
          <w:iCs w:val="false"/>
          <w:color w:val="1A1A1A"/>
          <w:sz w:val="21"/>
          <w:szCs w:val="21"/>
        </w:rPr>
        <w:t xml:space="preserve">Stating these accurately is more useful than omitting them; interviewers reward candidates who know the edges of their own systems.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6720"/>
      </w:tblGrid>
      <w:tr>
        <w:trPr>
          <w:tblHeader/>
        </w:trPr>
        <w:tc>
          <w:tcPr>
            <w:tcW w:type="dxa" w:w="2300"/>
            <w:shd w:fill="0B5D3B" w:color="auto" w:val="clear"/>
            <w:tcMar>
              <w:top w:type="dxa" w:w="70"/>
              <w:left w:type="dxa" w:w="100"/>
              <w:bottom w:type="dxa" w:w="70"/>
              <w:right w:type="dxa" w:w="100"/>
            </w:tcMar>
          </w:tcPr>
          <w:p>
            <w:pPr>
              <w:spacing w:after="0" w:line="250"/>
            </w:pPr>
            <w:r>
              <w:rPr>
                <w:b/>
                <w:bCs/>
                <w:color w:val="FFFFFF"/>
                <w:sz w:val="19"/>
                <w:szCs w:val="19"/>
              </w:rPr>
              <w:t xml:space="preserve">Limitation</w:t>
            </w:r>
          </w:p>
        </w:tc>
        <w:tc>
          <w:tcPr>
            <w:tcW w:type="dxa" w:w="6720"/>
            <w:shd w:fill="0B5D3B" w:color="auto" w:val="clear"/>
            <w:tcMar>
              <w:top w:type="dxa" w:w="70"/>
              <w:left w:type="dxa" w:w="100"/>
              <w:bottom w:type="dxa" w:w="70"/>
              <w:right w:type="dxa" w:w="100"/>
            </w:tcMar>
          </w:tcPr>
          <w:p>
            <w:pPr>
              <w:spacing w:after="0" w:line="250"/>
            </w:pPr>
            <w:r>
              <w:rPr>
                <w:b/>
                <w:bCs/>
                <w:color w:val="FFFFFF"/>
                <w:sz w:val="19"/>
                <w:szCs w:val="19"/>
              </w:rPr>
              <w:t xml:space="preserve">Assessment</w:t>
            </w:r>
          </w:p>
        </w:tc>
      </w:tr>
      <w:tr>
        <w:trPr>
          <w:tblHeader w:val="false"/>
        </w:trPr>
        <w:tc>
          <w:tcPr>
            <w:tcW w:type="dxa" w:w="2300"/>
            <w:tcMar>
              <w:top w:type="dxa" w:w="70"/>
              <w:left w:type="dxa" w:w="100"/>
              <w:bottom w:type="dxa" w:w="70"/>
              <w:right w:type="dxa" w:w="100"/>
            </w:tcMar>
          </w:tcPr>
          <w:p>
            <w:pPr>
              <w:spacing w:after="0" w:line="250"/>
            </w:pPr>
            <w:r>
              <w:rPr>
                <w:color w:val="1A1A1A"/>
                <w:sz w:val="19"/>
                <w:szCs w:val="19"/>
              </w:rPr>
              <w:t xml:space="preserve">Key custody</w:t>
            </w:r>
          </w:p>
        </w:tc>
        <w:tc>
          <w:tcPr>
            <w:tcW w:type="dxa" w:w="6720"/>
            <w:tcMar>
              <w:top w:type="dxa" w:w="70"/>
              <w:left w:type="dxa" w:w="100"/>
              <w:bottom w:type="dxa" w:w="70"/>
              <w:right w:type="dxa" w:w="100"/>
            </w:tcMar>
          </w:tcPr>
          <w:p>
            <w:pPr>
              <w:spacing w:after="0" w:line="250"/>
            </w:pPr>
            <w:r>
              <w:rPr>
                <w:color w:val="1A1A1A"/>
                <w:sz w:val="19"/>
                <w:szCs w:val="19"/>
              </w:rPr>
              <w:t xml:space="preserve">Signature authority reduces the audit guarantee to 'the private key is safe'. Production would require an HSM or KMS with its own access trail.</w:t>
            </w:r>
          </w:p>
        </w:tc>
      </w:tr>
      <w:tr>
        <w:trPr>
          <w:tblHeader w:val="false"/>
        </w:trPr>
        <w:tc>
          <w:tcPr>
            <w:tcW w:type="dxa" w:w="2300"/>
            <w:shd w:fill="F3F6F4" w:color="auto" w:val="clear"/>
            <w:tcMar>
              <w:top w:type="dxa" w:w="70"/>
              <w:left w:type="dxa" w:w="100"/>
              <w:bottom w:type="dxa" w:w="70"/>
              <w:right w:type="dxa" w:w="100"/>
            </w:tcMar>
          </w:tcPr>
          <w:p>
            <w:pPr>
              <w:spacing w:after="0" w:line="250"/>
            </w:pPr>
            <w:r>
              <w:rPr>
                <w:color w:val="1A1A1A"/>
                <w:sz w:val="19"/>
                <w:szCs w:val="19"/>
              </w:rPr>
              <w:t xml:space="preserve">Replica co-location</w:t>
            </w:r>
          </w:p>
        </w:tc>
        <w:tc>
          <w:tcPr>
            <w:tcW w:type="dxa" w:w="6720"/>
            <w:shd w:fill="F3F6F4" w:color="auto" w:val="clear"/>
            <w:tcMar>
              <w:top w:type="dxa" w:w="70"/>
              <w:left w:type="dxa" w:w="100"/>
              <w:bottom w:type="dxa" w:w="70"/>
              <w:right w:type="dxa" w:w="100"/>
            </w:tcMar>
          </w:tcPr>
          <w:p>
            <w:pPr>
              <w:spacing w:after="0" w:line="250"/>
            </w:pPr>
            <w:r>
              <w:rPr>
                <w:color w:val="1A1A1A"/>
                <w:sz w:val="19"/>
                <w:szCs w:val="19"/>
              </w:rPr>
              <w:t xml:space="preserve">The four copies are separate tables in one database, not separate hosts. Defends against targeted row edits — the modelled threat — but not loss of the instance.</w:t>
            </w:r>
          </w:p>
        </w:tc>
      </w:tr>
      <w:tr>
        <w:trPr>
          <w:tblHeader w:val="false"/>
        </w:trPr>
        <w:tc>
          <w:tcPr>
            <w:tcW w:type="dxa" w:w="2300"/>
            <w:tcMar>
              <w:top w:type="dxa" w:w="70"/>
              <w:left w:type="dxa" w:w="100"/>
              <w:bottom w:type="dxa" w:w="70"/>
              <w:right w:type="dxa" w:w="100"/>
            </w:tcMar>
          </w:tcPr>
          <w:p>
            <w:pPr>
              <w:spacing w:after="0" w:line="250"/>
            </w:pPr>
            <w:r>
              <w:rPr>
                <w:color w:val="1A1A1A"/>
                <w:sz w:val="19"/>
                <w:szCs w:val="19"/>
              </w:rPr>
              <w:t xml:space="preserve">No external anchoring</w:t>
            </w:r>
          </w:p>
        </w:tc>
        <w:tc>
          <w:tcPr>
            <w:tcW w:type="dxa" w:w="6720"/>
            <w:tcMar>
              <w:top w:type="dxa" w:w="70"/>
              <w:left w:type="dxa" w:w="100"/>
              <w:bottom w:type="dxa" w:w="70"/>
              <w:right w:type="dxa" w:w="100"/>
            </w:tcMar>
          </w:tcPr>
          <w:p>
            <w:pPr>
              <w:spacing w:after="0" w:line="250"/>
            </w:pPr>
            <w:r>
              <w:rPr>
                <w:color w:val="1A1A1A"/>
                <w:sz w:val="19"/>
                <w:szCs w:val="19"/>
              </w:rPr>
              <w:t xml:space="preserve">Chain heads are not published outside the system, so an attacker holding the signing key could in principle rebuild history.</w:t>
            </w:r>
          </w:p>
        </w:tc>
      </w:tr>
      <w:tr>
        <w:trPr>
          <w:tblHeader w:val="false"/>
        </w:trPr>
        <w:tc>
          <w:tcPr>
            <w:tcW w:type="dxa" w:w="2300"/>
            <w:shd w:fill="F3F6F4" w:color="auto" w:val="clear"/>
            <w:tcMar>
              <w:top w:type="dxa" w:w="70"/>
              <w:left w:type="dxa" w:w="100"/>
              <w:bottom w:type="dxa" w:w="70"/>
              <w:right w:type="dxa" w:w="100"/>
            </w:tcMar>
          </w:tcPr>
          <w:p>
            <w:pPr>
              <w:spacing w:after="0" w:line="250"/>
            </w:pPr>
            <w:r>
              <w:rPr>
                <w:color w:val="1A1A1A"/>
                <w:sz w:val="19"/>
                <w:szCs w:val="19"/>
              </w:rPr>
              <w:t xml:space="preserve">Training data</w:t>
            </w:r>
          </w:p>
        </w:tc>
        <w:tc>
          <w:tcPr>
            <w:tcW w:type="dxa" w:w="6720"/>
            <w:shd w:fill="F3F6F4" w:color="auto" w:val="clear"/>
            <w:tcMar>
              <w:top w:type="dxa" w:w="70"/>
              <w:left w:type="dxa" w:w="100"/>
              <w:bottom w:type="dxa" w:w="70"/>
              <w:right w:type="dxa" w:w="100"/>
            </w:tcMar>
          </w:tcPr>
          <w:p>
            <w:pPr>
              <w:spacing w:after="0" w:line="250"/>
            </w:pPr>
            <w:r>
              <w:rPr>
                <w:color w:val="1A1A1A"/>
                <w:sz w:val="19"/>
                <w:szCs w:val="19"/>
              </w:rPr>
              <w:t xml:space="preserve">Models are trained on synthetic behavioural data. Production accuracy would require retraining on real labelled bank data.</w:t>
            </w:r>
          </w:p>
        </w:tc>
      </w:tr>
      <w:tr>
        <w:trPr>
          <w:tblHeader w:val="false"/>
        </w:trPr>
        <w:tc>
          <w:tcPr>
            <w:tcW w:type="dxa" w:w="2300"/>
            <w:tcMar>
              <w:top w:type="dxa" w:w="70"/>
              <w:left w:type="dxa" w:w="100"/>
              <w:bottom w:type="dxa" w:w="70"/>
              <w:right w:type="dxa" w:w="100"/>
            </w:tcMar>
          </w:tcPr>
          <w:p>
            <w:pPr>
              <w:spacing w:after="0" w:line="250"/>
            </w:pPr>
            <w:r>
              <w:rPr>
                <w:color w:val="1A1A1A"/>
                <w:sz w:val="19"/>
                <w:szCs w:val="19"/>
              </w:rPr>
              <w:t xml:space="preserve">No conversational assistant</w:t>
            </w:r>
          </w:p>
        </w:tc>
        <w:tc>
          <w:tcPr>
            <w:tcW w:type="dxa" w:w="6720"/>
            <w:tcMar>
              <w:top w:type="dxa" w:w="70"/>
              <w:left w:type="dxa" w:w="100"/>
              <w:bottom w:type="dxa" w:w="70"/>
              <w:right w:type="dxa" w:w="100"/>
            </w:tcMar>
          </w:tcPr>
          <w:p>
            <w:pPr>
              <w:spacing w:after="0" w:line="250"/>
            </w:pPr>
            <w:r>
              <w:rPr>
                <w:color w:val="1A1A1A"/>
                <w:sz w:val="19"/>
                <w:szCs w:val="19"/>
              </w:rPr>
              <w:t xml:space="preserve">The explainability engines answer the questions a chatbot would field, but no conversational or voice interface was built.</w:t>
            </w:r>
          </w:p>
        </w:tc>
      </w:tr>
      <w:tr>
        <w:trPr>
          <w:tblHeader w:val="false"/>
        </w:trPr>
        <w:tc>
          <w:tcPr>
            <w:tcW w:type="dxa" w:w="2300"/>
            <w:shd w:fill="F3F6F4" w:color="auto" w:val="clear"/>
            <w:tcMar>
              <w:top w:type="dxa" w:w="70"/>
              <w:left w:type="dxa" w:w="100"/>
              <w:bottom w:type="dxa" w:w="70"/>
              <w:right w:type="dxa" w:w="100"/>
            </w:tcMar>
          </w:tcPr>
          <w:p>
            <w:pPr>
              <w:spacing w:after="0" w:line="250"/>
            </w:pPr>
            <w:r>
              <w:rPr>
                <w:color w:val="1A1A1A"/>
                <w:sz w:val="19"/>
                <w:szCs w:val="19"/>
              </w:rPr>
              <w:t xml:space="preserve">Regulatory reporting</w:t>
            </w:r>
          </w:p>
        </w:tc>
        <w:tc>
          <w:tcPr>
            <w:tcW w:type="dxa" w:w="6720"/>
            <w:shd w:fill="F3F6F4" w:color="auto" w:val="clear"/>
            <w:tcMar>
              <w:top w:type="dxa" w:w="70"/>
              <w:left w:type="dxa" w:w="100"/>
              <w:bottom w:type="dxa" w:w="70"/>
              <w:right w:type="dxa" w:w="100"/>
            </w:tcMar>
          </w:tcPr>
          <w:p>
            <w:pPr>
              <w:spacing w:after="0" w:line="250"/>
            </w:pPr>
            <w:r>
              <w:rPr>
                <w:color w:val="1A1A1A"/>
                <w:sz w:val="19"/>
                <w:szCs w:val="19"/>
              </w:rPr>
              <w:t xml:space="preserve">Blocked transactions emit a signed structured record containing the necessary payload, but the feed to national fraud-reporting infrastructure is not connected.</w:t>
            </w:r>
          </w:p>
        </w:tc>
      </w:tr>
    </w:tbl>
    <w:p>
      <w:pPr>
        <w:spacing w:after="160"/>
      </w:pPr>
    </w:p>
    <w:p>
      <w:pPr>
        <w:pStyle w:val="Heading1"/>
        <w:spacing w:after="140" w:before="360"/>
      </w:pPr>
      <w:r>
        <w:t xml:space="preserve">12.  Roadmap</w:t>
      </w:r>
    </w:p>
    <w:p>
      <w:pPr>
        <w:pStyle w:val="ListParagraph"/>
        <w:numPr>
          <w:ilvl w:val="0"/>
          <w:numId w:val="2"/>
        </w:numPr>
        <w:spacing w:after="70" w:line="268"/>
      </w:pPr>
      <w:r>
        <w:rPr>
          <w:b/>
          <w:bCs/>
          <w:i w:val="false"/>
          <w:iCs w:val="false"/>
          <w:color w:val="1A1A1A"/>
          <w:sz w:val="21"/>
          <w:szCs w:val="21"/>
        </w:rPr>
        <w:t xml:space="preserve">Conversational and voice assistant. </w:t>
      </w:r>
      <w:r>
        <w:rPr>
          <w:b w:val="false"/>
          <w:bCs w:val="false"/>
          <w:i w:val="false"/>
          <w:iCs w:val="false"/>
          <w:color w:val="1A1A1A"/>
          <w:sz w:val="21"/>
          <w:szCs w:val="21"/>
        </w:rPr>
        <w:t xml:space="preserve">The grounded explanation layer already exists in three languages; a conversational front end is an interface addition rather than new intelligence, and voice matters most for customers least served by dense financial screens.</w:t>
      </w:r>
    </w:p>
    <w:p>
      <w:pPr>
        <w:pStyle w:val="ListParagraph"/>
        <w:numPr>
          <w:ilvl w:val="0"/>
          <w:numId w:val="2"/>
        </w:numPr>
        <w:spacing w:after="70" w:line="268"/>
      </w:pPr>
      <w:r>
        <w:rPr>
          <w:b/>
          <w:bCs/>
          <w:i w:val="false"/>
          <w:iCs w:val="false"/>
          <w:color w:val="1A1A1A"/>
          <w:sz w:val="21"/>
          <w:szCs w:val="21"/>
        </w:rPr>
        <w:t xml:space="preserve">Regulatory and call-centre integration. </w:t>
      </w:r>
      <w:r>
        <w:rPr>
          <w:b w:val="false"/>
          <w:bCs w:val="false"/>
          <w:i w:val="false"/>
          <w:iCs w:val="false"/>
          <w:color w:val="1A1A1A"/>
          <w:sz w:val="21"/>
          <w:szCs w:val="21"/>
        </w:rPr>
        <w:t xml:space="preserve">Connect the existing blocked-transaction payload to national fraud-reporting channels.</w:t>
      </w:r>
    </w:p>
    <w:p>
      <w:pPr>
        <w:pStyle w:val="ListParagraph"/>
        <w:numPr>
          <w:ilvl w:val="0"/>
          <w:numId w:val="2"/>
        </w:numPr>
        <w:spacing w:after="70" w:line="268"/>
      </w:pPr>
      <w:r>
        <w:rPr>
          <w:b/>
          <w:bCs/>
          <w:i w:val="false"/>
          <w:iCs w:val="false"/>
          <w:color w:val="1A1A1A"/>
          <w:sz w:val="21"/>
          <w:szCs w:val="21"/>
        </w:rPr>
        <w:t xml:space="preserve">Hardware-backed key custody. </w:t>
      </w:r>
      <w:r>
        <w:rPr>
          <w:b w:val="false"/>
          <w:bCs w:val="false"/>
          <w:i w:val="false"/>
          <w:iCs w:val="false"/>
          <w:color w:val="1A1A1A"/>
          <w:sz w:val="21"/>
          <w:szCs w:val="21"/>
        </w:rPr>
        <w:t xml:space="preserve">The single change that moves the audit guarantee from strong to bank-grade.</w:t>
      </w:r>
    </w:p>
    <w:p>
      <w:pPr>
        <w:pStyle w:val="ListParagraph"/>
        <w:numPr>
          <w:ilvl w:val="0"/>
          <w:numId w:val="2"/>
        </w:numPr>
        <w:spacing w:after="70" w:line="268"/>
      </w:pPr>
      <w:r>
        <w:rPr>
          <w:b/>
          <w:bCs/>
          <w:i w:val="false"/>
          <w:iCs w:val="false"/>
          <w:color w:val="1A1A1A"/>
          <w:sz w:val="21"/>
          <w:szCs w:val="21"/>
        </w:rPr>
        <w:t xml:space="preserve">Physically distributed replicas with external anchoring. </w:t>
      </w:r>
      <w:r>
        <w:rPr>
          <w:b w:val="false"/>
          <w:bCs w:val="false"/>
          <w:i w:val="false"/>
          <w:iCs w:val="false"/>
          <w:color w:val="1A1A1A"/>
          <w:sz w:val="21"/>
          <w:szCs w:val="21"/>
        </w:rPr>
        <w:t xml:space="preserve">Closes the whole-instance and rebuilt-history cases.</w:t>
      </w:r>
    </w:p>
    <w:p>
      <w:pPr>
        <w:pStyle w:val="ListParagraph"/>
        <w:numPr>
          <w:ilvl w:val="0"/>
          <w:numId w:val="2"/>
        </w:numPr>
        <w:spacing w:after="70" w:line="268"/>
      </w:pPr>
      <w:r>
        <w:rPr>
          <w:b/>
          <w:bCs/>
          <w:i w:val="false"/>
          <w:iCs w:val="false"/>
          <w:color w:val="1A1A1A"/>
          <w:sz w:val="21"/>
          <w:szCs w:val="21"/>
        </w:rPr>
        <w:t xml:space="preserve">Goal-based planning. </w:t>
      </w:r>
      <w:r>
        <w:rPr>
          <w:b w:val="false"/>
          <w:bCs w:val="false"/>
          <w:i w:val="false"/>
          <w:iCs w:val="false"/>
          <w:color w:val="1A1A1A"/>
          <w:sz w:val="21"/>
          <w:szCs w:val="21"/>
        </w:rPr>
        <w:t xml:space="preserve">The wealth engine already supports goals such as home purchase and retirement; the app does not yet supply them.</w:t>
      </w:r>
    </w:p>
    <w:p>
      <w:pPr>
        <w:pStyle w:val="ListParagraph"/>
        <w:numPr>
          <w:ilvl w:val="0"/>
          <w:numId w:val="2"/>
        </w:numPr>
        <w:spacing w:after="70" w:line="268"/>
      </w:pPr>
      <w:r>
        <w:rPr>
          <w:b/>
          <w:bCs/>
          <w:i w:val="false"/>
          <w:iCs w:val="false"/>
          <w:color w:val="1A1A1A"/>
          <w:sz w:val="21"/>
          <w:szCs w:val="21"/>
        </w:rPr>
        <w:t xml:space="preserve">Telecom and SIM-swap signals. </w:t>
      </w:r>
      <w:r>
        <w:rPr>
          <w:b w:val="false"/>
          <w:bCs w:val="false"/>
          <w:i w:val="false"/>
          <w:iCs w:val="false"/>
          <w:color w:val="1A1A1A"/>
          <w:sz w:val="21"/>
          <w:szCs w:val="21"/>
        </w:rPr>
        <w:t xml:space="preserve">Registered in the risk weights at zero weight, ready to carry signal once a feed exists.</w:t>
      </w:r>
    </w:p>
    <w:p>
      <w:pPr>
        <w:pStyle w:val="ListParagraph"/>
        <w:numPr>
          <w:ilvl w:val="0"/>
          <w:numId w:val="2"/>
        </w:numPr>
        <w:spacing w:after="70" w:line="268"/>
      </w:pPr>
      <w:r>
        <w:rPr>
          <w:b/>
          <w:bCs/>
          <w:i w:val="false"/>
          <w:iCs w:val="false"/>
          <w:color w:val="1A1A1A"/>
          <w:sz w:val="21"/>
          <w:szCs w:val="21"/>
        </w:rPr>
        <w:t xml:space="preserve">Retraining on real labelled data. </w:t>
      </w:r>
      <w:r>
        <w:rPr>
          <w:b w:val="false"/>
          <w:bCs w:val="false"/>
          <w:i w:val="false"/>
          <w:iCs w:val="false"/>
          <w:color w:val="1A1A1A"/>
          <w:sz w:val="21"/>
          <w:szCs w:val="21"/>
        </w:rPr>
        <w:t xml:space="preserve">Would permit publishing honest precision and recall figures rather than behavioural demonstrations.</w:t>
      </w:r>
    </w:p>
    <w:p>
      <w:r>
        <w:br w:type="page"/>
      </w:r>
    </w:p>
    <w:p>
      <w:pPr>
        <w:pStyle w:val="Heading1"/>
        <w:spacing w:after="140" w:before="360"/>
      </w:pPr>
      <w:r>
        <w:t xml:space="preserve">13.  Swayam Kohli — contributions</w:t>
      </w:r>
    </w:p>
    <w:p>
      <w:pPr>
        <w:spacing w:after="120" w:line="276"/>
      </w:pPr>
      <w:r>
        <w:rPr>
          <w:b w:val="false"/>
          <w:bCs w:val="false"/>
          <w:i w:val="false"/>
          <w:iCs w:val="false"/>
          <w:color w:val="1A1A1A"/>
          <w:sz w:val="21"/>
          <w:szCs w:val="21"/>
        </w:rPr>
        <w:t xml:space="preserve">Across a six-person team, the areas below were owned or led personally.</w:t>
      </w:r>
    </w:p>
    <w:p>
      <w:pPr>
        <w:pStyle w:val="Heading3"/>
        <w:spacing w:after="80" w:before="180"/>
      </w:pPr>
      <w:r>
        <w:t xml:space="preserve">Architecture and system integration</w:t>
      </w:r>
    </w:p>
    <w:p>
      <w:pPr>
        <w:pStyle w:val="ListParagraph"/>
        <w:numPr>
          <w:ilvl w:val="0"/>
          <w:numId w:val="2"/>
        </w:numPr>
        <w:spacing w:after="70" w:line="268"/>
      </w:pPr>
      <w:r>
        <w:rPr>
          <w:b w:val="false"/>
          <w:bCs w:val="false"/>
          <w:i w:val="false"/>
          <w:iCs w:val="false"/>
          <w:color w:val="1A1A1A"/>
          <w:sz w:val="21"/>
          <w:szCs w:val="21"/>
        </w:rPr>
        <w:t xml:space="preserve">Defined the module boundaries and the contracts between them, so that independently developed components — risk rules, device trust, fraud models, mobile client — composed into one working system.</w:t>
      </w:r>
    </w:p>
    <w:p>
      <w:pPr>
        <w:pStyle w:val="ListParagraph"/>
        <w:numPr>
          <w:ilvl w:val="0"/>
          <w:numId w:val="2"/>
        </w:numPr>
        <w:spacing w:after="70" w:line="268"/>
      </w:pPr>
      <w:r>
        <w:rPr>
          <w:b w:val="false"/>
          <w:bCs w:val="false"/>
          <w:i w:val="false"/>
          <w:iCs w:val="false"/>
          <w:color w:val="1A1A1A"/>
          <w:sz w:val="21"/>
          <w:szCs w:val="21"/>
        </w:rPr>
        <w:t xml:space="preserve">Designed the security pipeline as an ordered chain of independent engines, each replaceable without touching the others.</w:t>
      </w:r>
    </w:p>
    <w:p>
      <w:pPr>
        <w:pStyle w:val="ListParagraph"/>
        <w:numPr>
          <w:ilvl w:val="0"/>
          <w:numId w:val="2"/>
        </w:numPr>
        <w:spacing w:after="70" w:line="268"/>
      </w:pPr>
      <w:r>
        <w:rPr>
          <w:b w:val="false"/>
          <w:bCs w:val="false"/>
          <w:i w:val="false"/>
          <w:iCs w:val="false"/>
          <w:color w:val="1A1A1A"/>
          <w:sz w:val="21"/>
          <w:szCs w:val="21"/>
        </w:rPr>
        <w:t xml:space="preserve">Established the principle that the explainability layer reads decisions and cannot influence them, keeping the language model outside the security-critical path.</w:t>
      </w:r>
    </w:p>
    <w:p>
      <w:pPr>
        <w:pStyle w:val="ListParagraph"/>
        <w:numPr>
          <w:ilvl w:val="0"/>
          <w:numId w:val="2"/>
        </w:numPr>
        <w:spacing w:after="70" w:line="268"/>
      </w:pPr>
      <w:r>
        <w:rPr>
          <w:b w:val="false"/>
          <w:bCs w:val="false"/>
          <w:i w:val="false"/>
          <w:iCs w:val="false"/>
          <w:color w:val="1A1A1A"/>
          <w:sz w:val="21"/>
          <w:szCs w:val="21"/>
        </w:rPr>
        <w:t xml:space="preserve">Integrated six people's work into a single deployable system and resolved the interface mismatches that surfaced during integration.</w:t>
      </w:r>
    </w:p>
    <w:p>
      <w:pPr>
        <w:pStyle w:val="Heading3"/>
        <w:spacing w:after="80" w:before="180"/>
      </w:pPr>
      <w:r>
        <w:t xml:space="preserve">Backend and API</w:t>
      </w:r>
    </w:p>
    <w:p>
      <w:pPr>
        <w:pStyle w:val="ListParagraph"/>
        <w:numPr>
          <w:ilvl w:val="0"/>
          <w:numId w:val="2"/>
        </w:numPr>
        <w:spacing w:after="70" w:line="268"/>
      </w:pPr>
      <w:r>
        <w:rPr>
          <w:b w:val="false"/>
          <w:bCs w:val="false"/>
          <w:i w:val="false"/>
          <w:iCs w:val="false"/>
          <w:color w:val="1A1A1A"/>
          <w:sz w:val="21"/>
          <w:szCs w:val="21"/>
        </w:rPr>
        <w:t xml:space="preserve">Built FastAPI services and SQLAlchemy models across authentication, accounts, transactions, aggregation, deposits, loans, devices and audit — 90 route handlers.</w:t>
      </w:r>
    </w:p>
    <w:p>
      <w:pPr>
        <w:pStyle w:val="ListParagraph"/>
        <w:numPr>
          <w:ilvl w:val="0"/>
          <w:numId w:val="2"/>
        </w:numPr>
        <w:spacing w:after="70" w:line="268"/>
      </w:pPr>
      <w:r>
        <w:rPr>
          <w:b w:val="false"/>
          <w:bCs w:val="false"/>
          <w:i w:val="false"/>
          <w:iCs w:val="false"/>
          <w:color w:val="1A1A1A"/>
          <w:sz w:val="21"/>
          <w:szCs w:val="21"/>
        </w:rPr>
        <w:t xml:space="preserve">Designed the consent-gated aggregation layer so wealth endpoints refuse to answer without explicit customer consent.</w:t>
      </w:r>
    </w:p>
    <w:p>
      <w:pPr>
        <w:pStyle w:val="ListParagraph"/>
        <w:numPr>
          <w:ilvl w:val="0"/>
          <w:numId w:val="2"/>
        </w:numPr>
        <w:spacing w:after="70" w:line="268"/>
      </w:pPr>
      <w:r>
        <w:rPr>
          <w:b w:val="false"/>
          <w:bCs w:val="false"/>
          <w:i w:val="false"/>
          <w:iCs w:val="false"/>
          <w:color w:val="1A1A1A"/>
          <w:sz w:val="21"/>
          <w:szCs w:val="21"/>
        </w:rPr>
        <w:t xml:space="preserve">Implemented the transaction lifecycle: initiation, in-line security evaluation, held-transaction state, step-up verification, method switching with an assurance-preserving compensation rule, and customer-initiated cancellation.</w:t>
      </w:r>
    </w:p>
    <w:p>
      <w:pPr>
        <w:pStyle w:val="ListParagraph"/>
        <w:numPr>
          <w:ilvl w:val="0"/>
          <w:numId w:val="2"/>
        </w:numPr>
        <w:spacing w:after="70" w:line="268"/>
      </w:pPr>
      <w:r>
        <w:rPr>
          <w:b w:val="false"/>
          <w:bCs w:val="false"/>
          <w:i w:val="false"/>
          <w:iCs w:val="false"/>
          <w:color w:val="1A1A1A"/>
          <w:sz w:val="21"/>
          <w:szCs w:val="21"/>
        </w:rPr>
        <w:t xml:space="preserve">Diagnosed and fixed the cash-flow windowing defect that made every derived financial metric three times too large, including the classification of investments as income.</w:t>
      </w:r>
    </w:p>
    <w:p>
      <w:pPr>
        <w:pStyle w:val="Heading3"/>
        <w:spacing w:after="80" w:before="180"/>
      </w:pPr>
      <w:r>
        <w:t xml:space="preserve">Mobile application</w:t>
      </w:r>
    </w:p>
    <w:p>
      <w:pPr>
        <w:pStyle w:val="ListParagraph"/>
        <w:numPr>
          <w:ilvl w:val="0"/>
          <w:numId w:val="2"/>
        </w:numPr>
        <w:spacing w:after="70" w:line="268"/>
      </w:pPr>
      <w:r>
        <w:rPr>
          <w:b w:val="false"/>
          <w:bCs w:val="false"/>
          <w:i w:val="false"/>
          <w:iCs w:val="false"/>
          <w:color w:val="1A1A1A"/>
          <w:sz w:val="21"/>
          <w:szCs w:val="21"/>
        </w:rPr>
        <w:t xml:space="preserve">Built the React Native client — 14 screens covering registration, consent, wealth, investment, step-up verification, security history, phishing and profile.</w:t>
      </w:r>
    </w:p>
    <w:p>
      <w:pPr>
        <w:pStyle w:val="ListParagraph"/>
        <w:numPr>
          <w:ilvl w:val="0"/>
          <w:numId w:val="2"/>
        </w:numPr>
        <w:spacing w:after="70" w:line="268"/>
      </w:pPr>
      <w:r>
        <w:rPr>
          <w:b w:val="false"/>
          <w:bCs w:val="false"/>
          <w:i w:val="false"/>
          <w:iCs w:val="false"/>
          <w:color w:val="1A1A1A"/>
          <w:sz w:val="21"/>
          <w:szCs w:val="21"/>
        </w:rPr>
        <w:t xml:space="preserve">Implemented the trilingual system (English, Hindi, Punjabi) across 260 interface keys, with an automated key-parity check, and extended it end to end so AI-generated explanations are localised rather than only the interface chrome.</w:t>
      </w:r>
    </w:p>
    <w:p>
      <w:pPr>
        <w:pStyle w:val="ListParagraph"/>
        <w:numPr>
          <w:ilvl w:val="0"/>
          <w:numId w:val="2"/>
        </w:numPr>
        <w:spacing w:after="70" w:line="268"/>
      </w:pPr>
      <w:r>
        <w:rPr>
          <w:b w:val="false"/>
          <w:bCs w:val="false"/>
          <w:i w:val="false"/>
          <w:iCs w:val="false"/>
          <w:color w:val="1A1A1A"/>
          <w:sz w:val="21"/>
          <w:szCs w:val="21"/>
        </w:rPr>
        <w:t xml:space="preserve">Built the API client with per-request timeout control and a recovery path that reconciles against server state when a slow response would otherwise strand the customer mid-verification.</w:t>
      </w:r>
    </w:p>
    <w:p>
      <w:pPr>
        <w:pStyle w:val="ListParagraph"/>
        <w:numPr>
          <w:ilvl w:val="0"/>
          <w:numId w:val="2"/>
        </w:numPr>
        <w:spacing w:after="70" w:line="268"/>
      </w:pPr>
      <w:r>
        <w:rPr>
          <w:b w:val="false"/>
          <w:bCs w:val="false"/>
          <w:i w:val="false"/>
          <w:iCs w:val="false"/>
          <w:color w:val="1A1A1A"/>
          <w:sz w:val="21"/>
          <w:szCs w:val="21"/>
        </w:rPr>
        <w:t xml:space="preserve">Added focus-based refresh, error boundaries, loading skeletons and accessibility labelling on every icon-only control.</w:t>
      </w:r>
    </w:p>
    <w:p>
      <w:pPr>
        <w:pStyle w:val="Heading3"/>
        <w:spacing w:after="80" w:before="180"/>
      </w:pPr>
      <w:r>
        <w:t xml:space="preserve">AI/ML integration and quality engineering</w:t>
      </w:r>
    </w:p>
    <w:p>
      <w:pPr>
        <w:pStyle w:val="ListParagraph"/>
        <w:numPr>
          <w:ilvl w:val="0"/>
          <w:numId w:val="2"/>
        </w:numPr>
        <w:spacing w:after="70" w:line="268"/>
      </w:pPr>
      <w:r>
        <w:rPr>
          <w:b w:val="false"/>
          <w:bCs w:val="false"/>
          <w:i w:val="false"/>
          <w:iCs w:val="false"/>
          <w:color w:val="1A1A1A"/>
          <w:sz w:val="21"/>
          <w:szCs w:val="21"/>
        </w:rPr>
        <w:t xml:space="preserve">Integrated the trained XGBoost fraud classifier and PyTorch autoencoder into the live decision path, including the module-aliasing and feature-contract work needed to load artifacts produced by a different training environment.</w:t>
      </w:r>
    </w:p>
    <w:p>
      <w:pPr>
        <w:pStyle w:val="ListParagraph"/>
        <w:numPr>
          <w:ilvl w:val="0"/>
          <w:numId w:val="2"/>
        </w:numPr>
        <w:spacing w:after="70" w:line="268"/>
      </w:pPr>
      <w:r>
        <w:rPr>
          <w:b w:val="false"/>
          <w:bCs w:val="false"/>
          <w:i w:val="false"/>
          <w:iCs w:val="false"/>
          <w:color w:val="1A1A1A"/>
          <w:sz w:val="21"/>
          <w:szCs w:val="21"/>
        </w:rPr>
        <w:t xml:space="preserve">Diagnosed the training-versus-inference feature mismatch that was causing the novelty detector to flag every transaction, and added a load-time contract check so a future mismatch fails loudly instead of scoring nonsense.</w:t>
      </w:r>
    </w:p>
    <w:p>
      <w:pPr>
        <w:pStyle w:val="ListParagraph"/>
        <w:numPr>
          <w:ilvl w:val="0"/>
          <w:numId w:val="2"/>
        </w:numPr>
        <w:spacing w:after="70" w:line="268"/>
      </w:pPr>
      <w:r>
        <w:rPr>
          <w:b w:val="false"/>
          <w:bCs w:val="false"/>
          <w:i w:val="false"/>
          <w:iCs w:val="false"/>
          <w:color w:val="1A1A1A"/>
          <w:sz w:val="21"/>
          <w:szCs w:val="21"/>
        </w:rPr>
        <w:t xml:space="preserve">Built the seven-engine explainability layer over a locally hosted LLM, with deterministic fallbacks and a guardrail rejecting explanations that contradict the decision being explained.</w:t>
      </w:r>
    </w:p>
    <w:p>
      <w:pPr>
        <w:pStyle w:val="ListParagraph"/>
        <w:numPr>
          <w:ilvl w:val="0"/>
          <w:numId w:val="2"/>
        </w:numPr>
        <w:spacing w:after="70" w:line="268"/>
      </w:pPr>
      <w:r>
        <w:rPr>
          <w:b w:val="false"/>
          <w:bCs w:val="false"/>
          <w:i w:val="false"/>
          <w:iCs w:val="false"/>
          <w:color w:val="1A1A1A"/>
          <w:sz w:val="21"/>
          <w:szCs w:val="21"/>
        </w:rPr>
        <w:t xml:space="preserve">Wrote the verification suites — 168 assertions across four suites run against a live backend — and the ten-scenario adversarial console that executes real attacks against the running system.</w:t>
      </w:r>
    </w:p>
    <w:p>
      <w:pPr>
        <w:pStyle w:val="ListParagraph"/>
        <w:numPr>
          <w:ilvl w:val="0"/>
          <w:numId w:val="2"/>
        </w:numPr>
        <w:spacing w:after="70" w:line="268"/>
      </w:pPr>
      <w:r>
        <w:rPr>
          <w:b w:val="false"/>
          <w:bCs w:val="false"/>
          <w:i w:val="false"/>
          <w:iCs w:val="false"/>
          <w:color w:val="1A1A1A"/>
          <w:sz w:val="21"/>
          <w:szCs w:val="21"/>
        </w:rPr>
        <w:t xml:space="preserve">Designed demonstration data so that five customer profiles each reach a different branch of the wealth engine, which is what exposed several of the defects listed in section 10.</w:t>
      </w:r>
    </w:p>
    <w:p>
      <w:pPr>
        <w:pStyle w:val="Heading1"/>
        <w:spacing w:after="140" w:before="360"/>
      </w:pPr>
      <w:r>
        <w:t xml:space="preserve">14.  Resume bullet bank</w:t>
      </w:r>
    </w:p>
    <w:p>
      <w:pPr>
        <w:spacing w:after="120" w:line="276"/>
      </w:pPr>
      <w:r>
        <w:rPr>
          <w:b w:val="false"/>
          <w:bCs w:val="false"/>
          <w:i w:val="false"/>
          <w:iCs w:val="false"/>
          <w:color w:val="1A1A1A"/>
          <w:sz w:val="21"/>
          <w:szCs w:val="21"/>
        </w:rPr>
        <w:t xml:space="preserve">Adapt to the role. Keep the metric, drop the detail that does not matter to that reader.</w:t>
      </w:r>
    </w:p>
    <w:p>
      <w:pPr>
        <w:pStyle w:val="Heading3"/>
        <w:spacing w:after="80" w:before="180"/>
      </w:pPr>
      <w:r>
        <w:t xml:space="preserve">Backend / platform</w:t>
      </w:r>
    </w:p>
    <w:p>
      <w:pPr>
        <w:pStyle w:val="ListParagraph"/>
        <w:numPr>
          <w:ilvl w:val="0"/>
          <w:numId w:val="2"/>
        </w:numPr>
        <w:spacing w:after="70" w:line="268"/>
      </w:pPr>
      <w:r>
        <w:rPr>
          <w:b w:val="false"/>
          <w:bCs w:val="false"/>
          <w:i w:val="false"/>
          <w:iCs w:val="false"/>
          <w:color w:val="1A1A1A"/>
          <w:sz w:val="21"/>
          <w:szCs w:val="21"/>
        </w:rPr>
        <w:t xml:space="preserve">Built a FastAPI and PostgreSQL banking backend of 90 route handlers covering authentication, transactions, account aggregation and audit, with Pydantic v2 schema validation at every boundary.</w:t>
      </w:r>
    </w:p>
    <w:p>
      <w:pPr>
        <w:pStyle w:val="ListParagraph"/>
        <w:numPr>
          <w:ilvl w:val="0"/>
          <w:numId w:val="2"/>
        </w:numPr>
        <w:spacing w:after="70" w:line="268"/>
      </w:pPr>
      <w:r>
        <w:rPr>
          <w:b w:val="false"/>
          <w:bCs w:val="false"/>
          <w:i w:val="false"/>
          <w:iCs w:val="false"/>
          <w:color w:val="1A1A1A"/>
          <w:sz w:val="21"/>
          <w:szCs w:val="21"/>
        </w:rPr>
        <w:t xml:space="preserve">Designed a stateless API that scales horizontally behind a load balancer, with session state carried in the token rather than a server-side store.</w:t>
      </w:r>
    </w:p>
    <w:p>
      <w:pPr>
        <w:pStyle w:val="ListParagraph"/>
        <w:numPr>
          <w:ilvl w:val="0"/>
          <w:numId w:val="2"/>
        </w:numPr>
        <w:spacing w:after="70" w:line="268"/>
      </w:pPr>
      <w:r>
        <w:rPr>
          <w:b w:val="false"/>
          <w:bCs w:val="false"/>
          <w:i w:val="false"/>
          <w:iCs w:val="false"/>
          <w:color w:val="1A1A1A"/>
          <w:sz w:val="21"/>
          <w:szCs w:val="21"/>
        </w:rPr>
        <w:t xml:space="preserve">Implemented consent-gated data aggregation enforcing regulatory consent in code — endpoints return 403 until consent is granted and revoked immediately on withdrawal.</w:t>
      </w:r>
    </w:p>
    <w:p>
      <w:pPr>
        <w:pStyle w:val="ListParagraph"/>
        <w:numPr>
          <w:ilvl w:val="0"/>
          <w:numId w:val="2"/>
        </w:numPr>
        <w:spacing w:after="70" w:line="268"/>
      </w:pPr>
      <w:r>
        <w:rPr>
          <w:b w:val="false"/>
          <w:bCs w:val="false"/>
          <w:i w:val="false"/>
          <w:iCs w:val="false"/>
          <w:color w:val="1A1A1A"/>
          <w:sz w:val="21"/>
          <w:szCs w:val="21"/>
        </w:rPr>
        <w:t xml:space="preserve">Diagnosed a cash-flow calculation defect that inflated every derived financial metric threefold, tracing it to an unwindowed aggregate read as a monthly rate.</w:t>
      </w:r>
    </w:p>
    <w:p>
      <w:pPr>
        <w:pStyle w:val="Heading3"/>
        <w:spacing w:after="80" w:before="180"/>
      </w:pPr>
      <w:r>
        <w:t xml:space="preserve">AI / machine learning</w:t>
      </w:r>
    </w:p>
    <w:p>
      <w:pPr>
        <w:pStyle w:val="ListParagraph"/>
        <w:numPr>
          <w:ilvl w:val="0"/>
          <w:numId w:val="2"/>
        </w:numPr>
        <w:spacing w:after="70" w:line="268"/>
      </w:pPr>
      <w:r>
        <w:rPr>
          <w:b w:val="false"/>
          <w:bCs w:val="false"/>
          <w:i w:val="false"/>
          <w:iCs w:val="false"/>
          <w:color w:val="1A1A1A"/>
          <w:sz w:val="21"/>
          <w:szCs w:val="21"/>
        </w:rPr>
        <w:t xml:space="preserve">Integrated an XGBoost fraud classifier over 22 engineered behavioural features and a PyTorch autoencoder for zero-day novelty detection into a real-time decision pipeline.</w:t>
      </w:r>
    </w:p>
    <w:p>
      <w:pPr>
        <w:pStyle w:val="ListParagraph"/>
        <w:numPr>
          <w:ilvl w:val="0"/>
          <w:numId w:val="2"/>
        </w:numPr>
        <w:spacing w:after="70" w:line="268"/>
      </w:pPr>
      <w:r>
        <w:rPr>
          <w:b w:val="false"/>
          <w:bCs w:val="false"/>
          <w:i w:val="false"/>
          <w:iCs w:val="false"/>
          <w:color w:val="1A1A1A"/>
          <w:sz w:val="21"/>
          <w:szCs w:val="21"/>
        </w:rPr>
        <w:t xml:space="preserve">Diagnosed a training-versus-inference feature-ordering mismatch causing 100% false-positive classification, and added a load-time feature-contract assertion so future mismatches fail loudly rather than silently.</w:t>
      </w:r>
    </w:p>
    <w:p>
      <w:pPr>
        <w:pStyle w:val="ListParagraph"/>
        <w:numPr>
          <w:ilvl w:val="0"/>
          <w:numId w:val="2"/>
        </w:numPr>
        <w:spacing w:after="70" w:line="268"/>
      </w:pPr>
      <w:r>
        <w:rPr>
          <w:b w:val="false"/>
          <w:bCs w:val="false"/>
          <w:i w:val="false"/>
          <w:iCs w:val="false"/>
          <w:color w:val="1A1A1A"/>
          <w:sz w:val="21"/>
          <w:szCs w:val="21"/>
        </w:rPr>
        <w:t xml:space="preserve">Built a seven-engine explainability layer over a locally hosted LLM, producing customer-facing rationales in three languages with deterministic template fallbacks.</w:t>
      </w:r>
    </w:p>
    <w:p>
      <w:pPr>
        <w:pStyle w:val="ListParagraph"/>
        <w:numPr>
          <w:ilvl w:val="0"/>
          <w:numId w:val="2"/>
        </w:numPr>
        <w:spacing w:after="70" w:line="268"/>
      </w:pPr>
      <w:r>
        <w:rPr>
          <w:b w:val="false"/>
          <w:bCs w:val="false"/>
          <w:i w:val="false"/>
          <w:iCs w:val="false"/>
          <w:color w:val="1A1A1A"/>
          <w:sz w:val="21"/>
          <w:szCs w:val="21"/>
        </w:rPr>
        <w:t xml:space="preserve">Kept model inference outside the security-critical decision path by architecture, so a model failure cannot alter a security verdict.</w:t>
      </w:r>
    </w:p>
    <w:p>
      <w:pPr>
        <w:pStyle w:val="Heading3"/>
        <w:spacing w:after="80" w:before="180"/>
      </w:pPr>
      <w:r>
        <w:t xml:space="preserve">Security engineering</w:t>
      </w:r>
    </w:p>
    <w:p>
      <w:pPr>
        <w:pStyle w:val="ListParagraph"/>
        <w:numPr>
          <w:ilvl w:val="0"/>
          <w:numId w:val="2"/>
        </w:numPr>
        <w:spacing w:after="70" w:line="268"/>
      </w:pPr>
      <w:r>
        <w:rPr>
          <w:b w:val="false"/>
          <w:bCs w:val="false"/>
          <w:i w:val="false"/>
          <w:iCs w:val="false"/>
          <w:color w:val="1A1A1A"/>
          <w:sz w:val="21"/>
          <w:szCs w:val="21"/>
        </w:rPr>
        <w:t xml:space="preserve">Designed an in-line fraud pipeline evaluating every transaction pre-settlement across behavioural, ML, novelty, device and environmental signals, with a weighted risk score mapped to four graded decision outcomes.</w:t>
      </w:r>
    </w:p>
    <w:p>
      <w:pPr>
        <w:pStyle w:val="ListParagraph"/>
        <w:numPr>
          <w:ilvl w:val="0"/>
          <w:numId w:val="2"/>
        </w:numPr>
        <w:spacing w:after="70" w:line="268"/>
      </w:pPr>
      <w:r>
        <w:rPr>
          <w:b w:val="false"/>
          <w:bCs w:val="false"/>
          <w:i w:val="false"/>
          <w:iCs w:val="false"/>
          <w:color w:val="1A1A1A"/>
          <w:sz w:val="21"/>
          <w:szCs w:val="21"/>
        </w:rPr>
        <w:t xml:space="preserve">Built a tamper-evident audit system using SHA-256 hash chaining, Ed25519 signatures and four-way replication, resolving conflicts by cryptographic authority rather than content majority — defeating an insider who rewrites three of four copies.</w:t>
      </w:r>
    </w:p>
    <w:p>
      <w:pPr>
        <w:pStyle w:val="ListParagraph"/>
        <w:numPr>
          <w:ilvl w:val="0"/>
          <w:numId w:val="2"/>
        </w:numPr>
        <w:spacing w:after="70" w:line="268"/>
      </w:pPr>
      <w:r>
        <w:rPr>
          <w:b w:val="false"/>
          <w:bCs w:val="false"/>
          <w:i w:val="false"/>
          <w:iCs w:val="false"/>
          <w:color w:val="1A1A1A"/>
          <w:sz w:val="21"/>
          <w:szCs w:val="21"/>
        </w:rPr>
        <w:t xml:space="preserve">Implemented per-customer behavioural baselining so thresholds derive from individual 90-day history rather than fixed limits.</w:t>
      </w:r>
    </w:p>
    <w:p>
      <w:pPr>
        <w:pStyle w:val="ListParagraph"/>
        <w:numPr>
          <w:ilvl w:val="0"/>
          <w:numId w:val="2"/>
        </w:numPr>
        <w:spacing w:after="70" w:line="268"/>
      </w:pPr>
      <w:r>
        <w:rPr>
          <w:b w:val="false"/>
          <w:bCs w:val="false"/>
          <w:i w:val="false"/>
          <w:iCs w:val="false"/>
          <w:color w:val="1A1A1A"/>
          <w:sz w:val="21"/>
          <w:szCs w:val="21"/>
        </w:rPr>
        <w:t xml:space="preserve">Built an adversarial testing console executing ten live attack scenarios — insider audit tampering, mass forgery, account takeover, velocity abuse, novel-pattern and credential attacks — against the running system.</w:t>
      </w:r>
    </w:p>
    <w:p>
      <w:pPr>
        <w:pStyle w:val="Heading3"/>
        <w:spacing w:after="80" w:before="180"/>
      </w:pPr>
      <w:r>
        <w:t xml:space="preserve">Full-stack / mobile</w:t>
      </w:r>
    </w:p>
    <w:p>
      <w:pPr>
        <w:pStyle w:val="ListParagraph"/>
        <w:numPr>
          <w:ilvl w:val="0"/>
          <w:numId w:val="2"/>
        </w:numPr>
        <w:spacing w:after="70" w:line="268"/>
      </w:pPr>
      <w:r>
        <w:rPr>
          <w:b w:val="false"/>
          <w:bCs w:val="false"/>
          <w:i w:val="false"/>
          <w:iCs w:val="false"/>
          <w:color w:val="1A1A1A"/>
          <w:sz w:val="21"/>
          <w:szCs w:val="21"/>
        </w:rPr>
        <w:t xml:space="preserve">Built a 14-screen React Native application in TypeScript covering the complete retail banking journey from registration to investment and step-up verification.</w:t>
      </w:r>
    </w:p>
    <w:p>
      <w:pPr>
        <w:pStyle w:val="ListParagraph"/>
        <w:numPr>
          <w:ilvl w:val="0"/>
          <w:numId w:val="2"/>
        </w:numPr>
        <w:spacing w:after="70" w:line="268"/>
      </w:pPr>
      <w:r>
        <w:rPr>
          <w:b w:val="false"/>
          <w:bCs w:val="false"/>
          <w:i w:val="false"/>
          <w:iCs w:val="false"/>
          <w:color w:val="1A1A1A"/>
          <w:sz w:val="21"/>
          <w:szCs w:val="21"/>
        </w:rPr>
        <w:t xml:space="preserve">Delivered full trilingual support across 260 interface keys plus AI-generated content, with automated key-parity verification.</w:t>
      </w:r>
    </w:p>
    <w:p>
      <w:pPr>
        <w:pStyle w:val="ListParagraph"/>
        <w:numPr>
          <w:ilvl w:val="0"/>
          <w:numId w:val="2"/>
        </w:numPr>
        <w:spacing w:after="70" w:line="268"/>
      </w:pPr>
      <w:r>
        <w:rPr>
          <w:b w:val="false"/>
          <w:bCs w:val="false"/>
          <w:i w:val="false"/>
          <w:iCs w:val="false"/>
          <w:color w:val="1A1A1A"/>
          <w:sz w:val="21"/>
          <w:szCs w:val="21"/>
        </w:rPr>
        <w:t xml:space="preserve">Implemented a resilient API client with per-request timeouts and server-state reconciliation, eliminating a failure mode that stranded customers mid-verification when a response was slow.</w:t>
      </w:r>
    </w:p>
    <w:p>
      <w:pPr>
        <w:pStyle w:val="ListParagraph"/>
        <w:numPr>
          <w:ilvl w:val="0"/>
          <w:numId w:val="2"/>
        </w:numPr>
        <w:spacing w:after="70" w:line="268"/>
      </w:pPr>
      <w:r>
        <w:rPr>
          <w:b w:val="false"/>
          <w:bCs w:val="false"/>
          <w:i w:val="false"/>
          <w:iCs w:val="false"/>
          <w:color w:val="1A1A1A"/>
          <w:sz w:val="21"/>
          <w:szCs w:val="21"/>
        </w:rPr>
        <w:t xml:space="preserve">Wrote a contract test asserting the exact response shape every screen depends on, catching backend changes that return HTTP 200 while silently breaking the UI.</w:t>
      </w:r>
    </w:p>
    <w:p>
      <w:pPr>
        <w:pStyle w:val="Heading3"/>
        <w:spacing w:after="80" w:before="180"/>
      </w:pPr>
      <w:r>
        <w:t xml:space="preserve">Product / general</w:t>
      </w:r>
    </w:p>
    <w:p>
      <w:pPr>
        <w:pStyle w:val="ListParagraph"/>
        <w:numPr>
          <w:ilvl w:val="0"/>
          <w:numId w:val="2"/>
        </w:numPr>
        <w:spacing w:after="70" w:line="268"/>
      </w:pPr>
      <w:r>
        <w:rPr>
          <w:b w:val="false"/>
          <w:bCs w:val="false"/>
          <w:i w:val="false"/>
          <w:iCs w:val="false"/>
          <w:color w:val="1A1A1A"/>
          <w:sz w:val="21"/>
          <w:szCs w:val="21"/>
        </w:rPr>
        <w:t xml:space="preserve">Led architecture and integration for a six-person team building a banking application that unifies wealth advice and fraud defence in one explainable decision path.</w:t>
      </w:r>
    </w:p>
    <w:p>
      <w:pPr>
        <w:pStyle w:val="ListParagraph"/>
        <w:numPr>
          <w:ilvl w:val="0"/>
          <w:numId w:val="2"/>
        </w:numPr>
        <w:spacing w:after="70" w:line="268"/>
      </w:pPr>
      <w:r>
        <w:rPr>
          <w:b w:val="false"/>
          <w:bCs w:val="false"/>
          <w:i w:val="false"/>
          <w:iCs w:val="false"/>
          <w:color w:val="1A1A1A"/>
          <w:sz w:val="21"/>
          <w:szCs w:val="21"/>
        </w:rPr>
        <w:t xml:space="preserve">Designed a recommendation engine that suppresses product advice entirely when a customer has no investable surplus — prioritising customer outcome over product placement.</w:t>
      </w:r>
    </w:p>
    <w:p>
      <w:pPr>
        <w:pStyle w:val="ListParagraph"/>
        <w:numPr>
          <w:ilvl w:val="0"/>
          <w:numId w:val="2"/>
        </w:numPr>
        <w:spacing w:after="70" w:line="268"/>
      </w:pPr>
      <w:r>
        <w:rPr>
          <w:b w:val="false"/>
          <w:bCs w:val="false"/>
          <w:i w:val="false"/>
          <w:iCs w:val="false"/>
          <w:color w:val="1A1A1A"/>
          <w:sz w:val="21"/>
          <w:szCs w:val="21"/>
        </w:rPr>
        <w:t xml:space="preserve">Made every automated decision explainable to the affected customer in their own language, addressing the contestability problem in automated financial decisioning.</w:t>
      </w:r>
    </w:p>
    <w:p>
      <w:pPr>
        <w:pStyle w:val="ListParagraph"/>
        <w:numPr>
          <w:ilvl w:val="0"/>
          <w:numId w:val="2"/>
        </w:numPr>
        <w:spacing w:after="70" w:line="268"/>
      </w:pPr>
      <w:r>
        <w:rPr>
          <w:b w:val="false"/>
          <w:bCs w:val="false"/>
          <w:i w:val="false"/>
          <w:iCs w:val="false"/>
          <w:color w:val="1A1A1A"/>
          <w:sz w:val="21"/>
          <w:szCs w:val="21"/>
        </w:rPr>
        <w:t xml:space="preserve">Delivered 44,000 lines across backend, mobile and ML in 8 weeks, verified by 168 automated assertions run against a live system.</w:t>
      </w:r>
    </w:p>
    <w:p>
      <w:pPr>
        <w:pStyle w:val="Heading1"/>
        <w:spacing w:after="140" w:before="360"/>
      </w:pPr>
      <w:r>
        <w:t xml:space="preserve">15.  Interview preparation</w:t>
      </w:r>
    </w:p>
    <w:p>
      <w:pPr>
        <w:pStyle w:val="Heading3"/>
        <w:spacing w:after="80" w:before="180"/>
      </w:pPr>
      <w:r>
        <w:t xml:space="preserve">Questions you should expect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0B5D3B" w:color="auto" w:val="clear"/>
            <w:tcMar>
              <w:top w:type="dxa" w:w="70"/>
              <w:left w:type="dxa" w:w="100"/>
              <w:bottom w:type="dxa" w:w="70"/>
              <w:right w:type="dxa" w:w="100"/>
            </w:tcMar>
          </w:tcPr>
          <w:p>
            <w:pPr>
              <w:spacing w:after="0" w:line="250"/>
            </w:pPr>
            <w:r>
              <w:rPr>
                <w:b/>
                <w:bCs/>
                <w:color w:val="FFFFFF"/>
                <w:sz w:val="19"/>
                <w:szCs w:val="19"/>
              </w:rPr>
              <w:t xml:space="preserve">Question</w:t>
            </w:r>
          </w:p>
        </w:tc>
        <w:tc>
          <w:tcPr>
            <w:tcW w:type="dxa" w:w="6420"/>
            <w:shd w:fill="0B5D3B" w:color="auto" w:val="clear"/>
            <w:tcMar>
              <w:top w:type="dxa" w:w="70"/>
              <w:left w:type="dxa" w:w="100"/>
              <w:bottom w:type="dxa" w:w="70"/>
              <w:right w:type="dxa" w:w="100"/>
            </w:tcMar>
          </w:tcPr>
          <w:p>
            <w:pPr>
              <w:spacing w:after="0" w:line="250"/>
            </w:pPr>
            <w:r>
              <w:rPr>
                <w:b/>
                <w:bCs/>
                <w:color w:val="FFFFFF"/>
                <w:sz w:val="19"/>
                <w:szCs w:val="19"/>
              </w:rPr>
              <w:t xml:space="preserve">Direction of a good answer</w:t>
            </w:r>
          </w:p>
        </w:tc>
      </w:tr>
      <w:tr>
        <w:trPr>
          <w:tblHeader w:val="false"/>
        </w:trPr>
        <w:tc>
          <w:tcPr>
            <w:tcW w:type="dxa" w:w="2600"/>
            <w:tcMar>
              <w:top w:type="dxa" w:w="70"/>
              <w:left w:type="dxa" w:w="100"/>
              <w:bottom w:type="dxa" w:w="70"/>
              <w:right w:type="dxa" w:w="100"/>
            </w:tcMar>
          </w:tcPr>
          <w:p>
            <w:pPr>
              <w:spacing w:after="0" w:line="250"/>
            </w:pPr>
            <w:r>
              <w:rPr>
                <w:color w:val="1A1A1A"/>
                <w:sz w:val="19"/>
                <w:szCs w:val="19"/>
              </w:rPr>
              <w:t xml:space="preserve">Why both a classifier and an autoencoder?</w:t>
            </w:r>
          </w:p>
        </w:tc>
        <w:tc>
          <w:tcPr>
            <w:tcW w:type="dxa" w:w="6420"/>
            <w:tcMar>
              <w:top w:type="dxa" w:w="70"/>
              <w:left w:type="dxa" w:w="100"/>
              <w:bottom w:type="dxa" w:w="70"/>
              <w:right w:type="dxa" w:w="100"/>
            </w:tcMar>
          </w:tcPr>
          <w:p>
            <w:pPr>
              <w:spacing w:after="0" w:line="250"/>
            </w:pPr>
            <w:r>
              <w:rPr>
                <w:color w:val="1A1A1A"/>
                <w:sz w:val="19"/>
                <w:szCs w:val="19"/>
              </w:rPr>
              <w:t xml:space="preserve">A supervised classifier only recognises fraud patterns present in its labels. The autoencoder is trained on legitimate data alone, so anything it cannot reconstruct is unlike normal by construction. They cover different failure modes.</w:t>
            </w:r>
          </w:p>
        </w:tc>
      </w:tr>
      <w:tr>
        <w:trPr>
          <w:tblHeader w:val="false"/>
        </w:trPr>
        <w:tc>
          <w:tcPr>
            <w:tcW w:type="dxa" w:w="2600"/>
            <w:shd w:fill="F3F6F4" w:color="auto" w:val="clear"/>
            <w:tcMar>
              <w:top w:type="dxa" w:w="70"/>
              <w:left w:type="dxa" w:w="100"/>
              <w:bottom w:type="dxa" w:w="70"/>
              <w:right w:type="dxa" w:w="100"/>
            </w:tcMar>
          </w:tcPr>
          <w:p>
            <w:pPr>
              <w:spacing w:after="0" w:line="250"/>
            </w:pPr>
            <w:r>
              <w:rPr>
                <w:color w:val="1A1A1A"/>
                <w:sz w:val="19"/>
                <w:szCs w:val="19"/>
              </w:rPr>
              <w:t xml:space="preserve">Why not majority voting for the audit?</w:t>
            </w:r>
          </w:p>
        </w:tc>
        <w:tc>
          <w:tcPr>
            <w:tcW w:type="dxa" w:w="6420"/>
            <w:shd w:fill="F3F6F4" w:color="auto" w:val="clear"/>
            <w:tcMar>
              <w:top w:type="dxa" w:w="70"/>
              <w:left w:type="dxa" w:w="100"/>
              <w:bottom w:type="dxa" w:w="70"/>
              <w:right w:type="dxa" w:w="100"/>
            </w:tcMar>
          </w:tcPr>
          <w:p>
            <w:pPr>
              <w:spacing w:after="0" w:line="250"/>
            </w:pPr>
            <w:r>
              <w:rPr>
                <w:color w:val="1A1A1A"/>
                <w:sz w:val="19"/>
                <w:szCs w:val="19"/>
              </w:rPr>
              <w:t xml:space="preserve">Majority loses to an insider who edits three of four copies. Signature authority means forged copies fail verification regardless of count, so one genuine copy suffices.</w:t>
            </w:r>
          </w:p>
        </w:tc>
      </w:tr>
      <w:tr>
        <w:trPr>
          <w:tblHeader w:val="false"/>
        </w:trPr>
        <w:tc>
          <w:tcPr>
            <w:tcW w:type="dxa" w:w="2600"/>
            <w:tcMar>
              <w:top w:type="dxa" w:w="70"/>
              <w:left w:type="dxa" w:w="100"/>
              <w:bottom w:type="dxa" w:w="70"/>
              <w:right w:type="dxa" w:w="100"/>
            </w:tcMar>
          </w:tcPr>
          <w:p>
            <w:pPr>
              <w:spacing w:after="0" w:line="250"/>
            </w:pPr>
            <w:r>
              <w:rPr>
                <w:color w:val="1A1A1A"/>
                <w:sz w:val="19"/>
                <w:szCs w:val="19"/>
              </w:rPr>
              <w:t xml:space="preserve">Isn't an LLM in a security system risky?</w:t>
            </w:r>
          </w:p>
        </w:tc>
        <w:tc>
          <w:tcPr>
            <w:tcW w:type="dxa" w:w="6420"/>
            <w:tcMar>
              <w:top w:type="dxa" w:w="70"/>
              <w:left w:type="dxa" w:w="100"/>
              <w:bottom w:type="dxa" w:w="70"/>
              <w:right w:type="dxa" w:w="100"/>
            </w:tcMar>
          </w:tcPr>
          <w:p>
            <w:pPr>
              <w:spacing w:after="0" w:line="250"/>
            </w:pPr>
            <w:r>
              <w:rPr>
                <w:color w:val="1A1A1A"/>
                <w:sz w:val="19"/>
                <w:szCs w:val="19"/>
              </w:rPr>
              <w:t xml:space="preserve">It is, which is why it sits below the decision layer and only reads verdicts. It cannot alter an outcome. There are also deterministic template fallbacks and a guardrail rejecting explanations that contradict the decision.</w:t>
            </w:r>
          </w:p>
        </w:tc>
      </w:tr>
      <w:tr>
        <w:trPr>
          <w:tblHeader w:val="false"/>
        </w:trPr>
        <w:tc>
          <w:tcPr>
            <w:tcW w:type="dxa" w:w="2600"/>
            <w:shd w:fill="F3F6F4" w:color="auto" w:val="clear"/>
            <w:tcMar>
              <w:top w:type="dxa" w:w="70"/>
              <w:left w:type="dxa" w:w="100"/>
              <w:bottom w:type="dxa" w:w="70"/>
              <w:right w:type="dxa" w:w="100"/>
            </w:tcMar>
          </w:tcPr>
          <w:p>
            <w:pPr>
              <w:spacing w:after="0" w:line="250"/>
            </w:pPr>
            <w:r>
              <w:rPr>
                <w:color w:val="1A1A1A"/>
                <w:sz w:val="19"/>
                <w:szCs w:val="19"/>
              </w:rPr>
              <w:t xml:space="preserve">How would this scale?</w:t>
            </w:r>
          </w:p>
        </w:tc>
        <w:tc>
          <w:tcPr>
            <w:tcW w:type="dxa" w:w="6420"/>
            <w:shd w:fill="F3F6F4" w:color="auto" w:val="clear"/>
            <w:tcMar>
              <w:top w:type="dxa" w:w="70"/>
              <w:left w:type="dxa" w:w="100"/>
              <w:bottom w:type="dxa" w:w="70"/>
              <w:right w:type="dxa" w:w="100"/>
            </w:tcMar>
          </w:tcPr>
          <w:p>
            <w:pPr>
              <w:spacing w:after="0" w:line="250"/>
            </w:pPr>
            <w:r>
              <w:rPr>
                <w:color w:val="1A1A1A"/>
                <w:sz w:val="19"/>
                <w:szCs w:val="19"/>
              </w:rPr>
              <w:t xml:space="preserve">The API is stateless and scales horizontally. Models are small enough to run in-process, so no separate inference tier. The ordered audit writer is the component that would need sharding by customer.</w:t>
            </w:r>
          </w:p>
        </w:tc>
      </w:tr>
      <w:tr>
        <w:trPr>
          <w:tblHeader w:val="false"/>
        </w:trPr>
        <w:tc>
          <w:tcPr>
            <w:tcW w:type="dxa" w:w="2600"/>
            <w:tcMar>
              <w:top w:type="dxa" w:w="70"/>
              <w:left w:type="dxa" w:w="100"/>
              <w:bottom w:type="dxa" w:w="70"/>
              <w:right w:type="dxa" w:w="100"/>
            </w:tcMar>
          </w:tcPr>
          <w:p>
            <w:pPr>
              <w:spacing w:after="0" w:line="250"/>
            </w:pPr>
            <w:r>
              <w:rPr>
                <w:color w:val="1A1A1A"/>
                <w:sz w:val="19"/>
                <w:szCs w:val="19"/>
              </w:rPr>
              <w:t xml:space="preserve">What would you do differently?</w:t>
            </w:r>
          </w:p>
        </w:tc>
        <w:tc>
          <w:tcPr>
            <w:tcW w:type="dxa" w:w="6420"/>
            <w:tcMar>
              <w:top w:type="dxa" w:w="70"/>
              <w:left w:type="dxa" w:w="100"/>
              <w:bottom w:type="dxa" w:w="70"/>
              <w:right w:type="dxa" w:w="100"/>
            </w:tcMar>
          </w:tcPr>
          <w:p>
            <w:pPr>
              <w:spacing w:after="0" w:line="250"/>
            </w:pPr>
            <w:r>
              <w:rPr>
                <w:color w:val="1A1A1A"/>
                <w:sz w:val="19"/>
                <w:szCs w:val="19"/>
              </w:rPr>
              <w:t xml:space="preserve">Move key custody into an HSM, distribute replicas across hosts with external anchoring, and retrain on real labelled data so accuracy figures could be published honestly.</w:t>
            </w:r>
          </w:p>
        </w:tc>
      </w:tr>
      <w:tr>
        <w:trPr>
          <w:tblHeader w:val="false"/>
        </w:trPr>
        <w:tc>
          <w:tcPr>
            <w:tcW w:type="dxa" w:w="2600"/>
            <w:shd w:fill="F3F6F4" w:color="auto" w:val="clear"/>
            <w:tcMar>
              <w:top w:type="dxa" w:w="70"/>
              <w:left w:type="dxa" w:w="100"/>
              <w:bottom w:type="dxa" w:w="70"/>
              <w:right w:type="dxa" w:w="100"/>
            </w:tcMar>
          </w:tcPr>
          <w:p>
            <w:pPr>
              <w:spacing w:after="0" w:line="250"/>
            </w:pPr>
            <w:r>
              <w:rPr>
                <w:color w:val="1A1A1A"/>
                <w:sz w:val="19"/>
                <w:szCs w:val="19"/>
              </w:rPr>
              <w:t xml:space="preserve">What was the hardest bug?</w:t>
            </w:r>
          </w:p>
        </w:tc>
        <w:tc>
          <w:tcPr>
            <w:tcW w:type="dxa" w:w="6420"/>
            <w:shd w:fill="F3F6F4" w:color="auto" w:val="clear"/>
            <w:tcMar>
              <w:top w:type="dxa" w:w="70"/>
              <w:left w:type="dxa" w:w="100"/>
              <w:bottom w:type="dxa" w:w="70"/>
              <w:right w:type="dxa" w:w="100"/>
            </w:tcMar>
          </w:tcPr>
          <w:p>
            <w:pPr>
              <w:spacing w:after="0" w:line="250"/>
            </w:pPr>
            <w:r>
              <w:rPr>
                <w:color w:val="1A1A1A"/>
                <w:sz w:val="19"/>
                <w:szCs w:val="19"/>
              </w:rPr>
              <w:t xml:space="preserve">The feature-contract mismatch — see section 10.1. Worth telling because the tests were green and the failure was silent.</w:t>
            </w:r>
          </w:p>
        </w:tc>
      </w:tr>
    </w:tbl>
    <w:p>
      <w:pPr>
        <w:spacing w:after="160"/>
      </w:pPr>
    </w:p>
    <w:p>
      <w:pPr>
        <w:pStyle w:val="Heading3"/>
        <w:spacing w:after="80" w:before="180"/>
      </w:pPr>
      <w:r>
        <w:t xml:space="preserve">Themes to lead with</w:t>
      </w:r>
    </w:p>
    <w:p>
      <w:pPr>
        <w:pStyle w:val="ListParagraph"/>
        <w:numPr>
          <w:ilvl w:val="0"/>
          <w:numId w:val="2"/>
        </w:numPr>
        <w:spacing w:after="70" w:line="268"/>
      </w:pPr>
      <w:r>
        <w:rPr>
          <w:b/>
          <w:bCs/>
          <w:i w:val="false"/>
          <w:iCs w:val="false"/>
          <w:color w:val="1A1A1A"/>
          <w:sz w:val="21"/>
          <w:szCs w:val="21"/>
        </w:rPr>
        <w:t xml:space="preserve">Correctness over completeness. </w:t>
      </w:r>
      <w:r>
        <w:rPr>
          <w:b w:val="false"/>
          <w:bCs w:val="false"/>
          <w:i w:val="false"/>
          <w:iCs w:val="false"/>
          <w:color w:val="1A1A1A"/>
          <w:sz w:val="21"/>
          <w:szCs w:val="21"/>
        </w:rPr>
        <w:t xml:space="preserve">Several of the strongest stories are about defects found by disbelieving a passing test suite.</w:t>
      </w:r>
    </w:p>
    <w:p>
      <w:pPr>
        <w:pStyle w:val="ListParagraph"/>
        <w:numPr>
          <w:ilvl w:val="0"/>
          <w:numId w:val="2"/>
        </w:numPr>
        <w:spacing w:after="70" w:line="268"/>
      </w:pPr>
      <w:r>
        <w:rPr>
          <w:b/>
          <w:bCs/>
          <w:i w:val="false"/>
          <w:iCs w:val="false"/>
          <w:color w:val="1A1A1A"/>
          <w:sz w:val="21"/>
          <w:szCs w:val="21"/>
        </w:rPr>
        <w:t xml:space="preserve">Systems thinking. </w:t>
      </w:r>
      <w:r>
        <w:rPr>
          <w:b w:val="false"/>
          <w:bCs w:val="false"/>
          <w:i w:val="false"/>
          <w:iCs w:val="false"/>
          <w:color w:val="1A1A1A"/>
          <w:sz w:val="21"/>
          <w:szCs w:val="21"/>
        </w:rPr>
        <w:t xml:space="preserve">The audit authority decision and the placement of the LLM outside the decision path are architecture judgements, not implementation details.</w:t>
      </w:r>
    </w:p>
    <w:p>
      <w:pPr>
        <w:pStyle w:val="ListParagraph"/>
        <w:numPr>
          <w:ilvl w:val="0"/>
          <w:numId w:val="2"/>
        </w:numPr>
        <w:spacing w:after="70" w:line="268"/>
      </w:pPr>
      <w:r>
        <w:rPr>
          <w:b/>
          <w:bCs/>
          <w:i w:val="false"/>
          <w:iCs w:val="false"/>
          <w:color w:val="1A1A1A"/>
          <w:sz w:val="21"/>
          <w:szCs w:val="21"/>
        </w:rPr>
        <w:t xml:space="preserve">Product judgement. </w:t>
      </w:r>
      <w:r>
        <w:rPr>
          <w:b w:val="false"/>
          <w:bCs w:val="false"/>
          <w:i w:val="false"/>
          <w:iCs w:val="false"/>
          <w:color w:val="1A1A1A"/>
          <w:sz w:val="21"/>
          <w:szCs w:val="21"/>
        </w:rPr>
        <w:t xml:space="preserve">An advice engine that can decline is a design position about what the product is for, and it is unusual enough to be memorable.</w:t>
      </w:r>
    </w:p>
    <w:p>
      <w:pPr>
        <w:spacing w:before="400"/>
      </w:pPr>
      <w:r>
        <w:rPr>
          <w:i/>
          <w:iCs/>
          <w:color w:val="5A5A5A"/>
          <w:sz w:val="18"/>
          <w:szCs w:val="18"/>
        </w:rPr>
        <w:t xml:space="preserve">Every figure in this document was read from the codebase or from live test output.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0B5D3B"/>
      <w:sz w:val="30"/>
      <w:szCs w:val="30"/>
    </w:rPr>
  </w:style>
  <w:style w:type="paragraph" w:styleId="Heading2">
    <w:name w:val="Heading 2"/>
    <w:basedOn w:val="Normal"/>
    <w:next w:val="Normal"/>
    <w:qFormat/>
    <w:rPr>
      <w:rFonts w:ascii="Cambria" w:cs="Cambria" w:eastAsia="Cambria" w:hAnsi="Cambria"/>
      <w:b/>
      <w:bCs/>
      <w:color w:val="0B5D3B"/>
      <w:sz w:val="25"/>
      <w:szCs w:val="25"/>
    </w:rPr>
  </w:style>
  <w:style w:type="paragraph" w:styleId="Heading3">
    <w:name w:val="Heading 3"/>
    <w:basedOn w:val="Normal"/>
    <w:next w:val="Normal"/>
    <w:qFormat/>
    <w:rPr>
      <w:rFonts w:ascii="Calibri" w:cs="Calibri" w:eastAsia="Calibri" w:hAnsi="Calibri"/>
      <w:b/>
      <w:bCs/>
      <w:color w:val="1A1A1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SecureWealth Twin — Project Reference</dc:title>
  <dc:creator>Swayam Kohli</dc:creator>
  <cp:lastModifiedBy>Un-named</cp:lastModifiedBy>
  <cp:revision>1</cp:revision>
  <dcterms:created xsi:type="dcterms:W3CDTF">2026-08-08T08:12:19.056Z</dcterms:created>
  <dcterms:modified xsi:type="dcterms:W3CDTF">2026-08-08T08:12:19.057Z</dcterms:modified>
</cp:coreProperties>
</file>

<file path=docProps/custom.xml><?xml version="1.0" encoding="utf-8"?>
<Properties xmlns="http://schemas.openxmlformats.org/officeDocument/2006/custom-properties" xmlns:vt="http://schemas.openxmlformats.org/officeDocument/2006/docPropsVTypes"/>
</file>