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A3C5E"/>
          <w:sz w:val="48"/>
          <w:szCs w:val="48"/>
        </w:rPr>
        <w:t xml:space="preserve">BUNGE MKONONI</w:t>
      </w:r>
    </w:p>
    <w:p>
      <w:pPr>
        <w:pBdr>
          <w:bottom w:val="single" w:color="1A3C5E" w:sz="8" w:space="6"/>
        </w:pBdr>
        <w:spacing w:after="200" w:before="0"/>
      </w:pPr>
      <w:r>
        <w:rPr>
          <w:rFonts w:ascii="Arial" w:cs="Arial" w:eastAsia="Arial" w:hAnsi="Arial"/>
          <w:i/>
          <w:iCs/>
          <w:color w:val="5D6D7E"/>
          <w:sz w:val="28"/>
          <w:szCs w:val="28"/>
        </w:rPr>
        <w:t xml:space="preserve">Frontend UX/UI Audit — Issues, Recommendations &amp; New Features</w:t>
      </w:r>
    </w:p>
    <w:p>
      <w:pPr>
        <w:spacing w:after="40" w:before="120"/>
      </w:pPr>
      <w:r>
        <w:rPr>
          <w:rFonts w:ascii="Arial" w:cs="Arial" w:eastAsia="Arial" w:hAnsi="Arial"/>
          <w:color w:val="5D6D7E"/>
          <w:sz w:val="20"/>
          <w:szCs w:val="20"/>
        </w:rPr>
        <w:t xml:space="preserve">Scope: Frontend only (HTML, CSS, layout, component design, user experience)</w:t>
      </w:r>
    </w:p>
    <w:p>
      <w:pPr>
        <w:spacing w:after="40" w:before="0"/>
      </w:pPr>
      <w:r>
        <w:rPr>
          <w:rFonts w:ascii="Arial" w:cs="Arial" w:eastAsia="Arial" w:hAnsi="Arial"/>
          <w:color w:val="5D6D7E"/>
          <w:sz w:val="20"/>
          <w:szCs w:val="20"/>
        </w:rPr>
        <w:t xml:space="preserve">Product: bunge-mkononi.vercel.app</w:t>
      </w:r>
    </w:p>
    <w:p>
      <w:pPr>
        <w:spacing w:after="360" w:before="0"/>
      </w:pPr>
      <w:r>
        <w:rPr>
          <w:rFonts w:ascii="Arial" w:cs="Arial" w:eastAsia="Arial" w:hAnsi="Arial"/>
          <w:color w:val="5D6D7E"/>
          <w:sz w:val="20"/>
          <w:szCs w:val="20"/>
        </w:rPr>
        <w:t xml:space="preserve">Date: March 2026</w:t>
      </w:r>
    </w:p>
    <w:p>
      <w:pPr>
        <w:pStyle w:val="Heading1"/>
        <w:spacing w:after="120" w:before="360"/>
      </w:pPr>
      <w:r>
        <w:rPr>
          <w:rFonts w:ascii="Arial" w:cs="Arial" w:eastAsia="Arial" w:hAnsi="Arial"/>
          <w:b/>
          <w:bCs/>
          <w:color w:val="1A1A2E"/>
          <w:sz w:val="32"/>
          <w:szCs w:val="32"/>
        </w:rPr>
        <w:t xml:space="preserve">1. Executive Summary</w:t>
      </w:r>
    </w:p>
    <w:p>
      <w:pPr>
        <w:spacing w:after="100" w:before="60"/>
      </w:pPr>
      <w:r>
        <w:rPr>
          <w:rFonts w:ascii="Arial" w:cs="Arial" w:eastAsia="Arial" w:hAnsi="Arial"/>
          <w:b w:val="false"/>
          <w:bCs w:val="false"/>
          <w:color w:val="2C2C2C"/>
          <w:sz w:val="22"/>
          <w:szCs w:val="22"/>
        </w:rPr>
        <w:t xml:space="preserve">Bunge Mkononi is a civic-tech platform that enables Kenyan citizens to track parliamentary bills, vote on legislation, and participate through USSD and SMS on basic feature phones. The core concept is strong. The frontend execution, however, defaults to generic patterns that undermine trust, obscure the product’s unique differentiators, and create unnecessary friction on the user’s primary journeys.</w:t>
      </w:r>
    </w:p>
    <w:p>
      <w:pPr>
        <w:spacing w:after="100" w:before="60"/>
      </w:pPr>
      <w:r>
        <w:rPr>
          <w:rFonts w:ascii="Arial" w:cs="Arial" w:eastAsia="Arial" w:hAnsi="Arial"/>
          <w:b w:val="false"/>
          <w:bCs w:val="false"/>
          <w:color w:val="2C2C2C"/>
          <w:sz w:val="22"/>
          <w:szCs w:val="22"/>
        </w:rPr>
        <w:t xml:space="preserve">This document covers:</w:t>
      </w:r>
    </w:p>
    <w:p>
      <w:pPr>
        <w:pStyle w:val="ListParagraph"/>
        <w:numPr>
          <w:ilvl w:val="0"/>
          <w:numId w:val="2"/>
        </w:numPr>
        <w:spacing w:after="60" w:before="40"/>
      </w:pPr>
      <w:r>
        <w:rPr>
          <w:rFonts w:ascii="Arial" w:cs="Arial" w:eastAsia="Arial" w:hAnsi="Arial"/>
          <w:color w:val="2C2C2C"/>
          <w:sz w:val="22"/>
          <w:szCs w:val="22"/>
        </w:rPr>
        <w:t xml:space="preserve">Core problems identified across all pages</w:t>
      </w:r>
    </w:p>
    <w:p>
      <w:pPr>
        <w:pStyle w:val="ListParagraph"/>
        <w:numPr>
          <w:ilvl w:val="0"/>
          <w:numId w:val="2"/>
        </w:numPr>
        <w:spacing w:after="60" w:before="40"/>
      </w:pPr>
      <w:r>
        <w:rPr>
          <w:rFonts w:ascii="Arial" w:cs="Arial" w:eastAsia="Arial" w:hAnsi="Arial"/>
          <w:color w:val="2C2C2C"/>
          <w:sz w:val="22"/>
          <w:szCs w:val="22"/>
        </w:rPr>
        <w:t xml:space="preserve">Specific solutions and frontend recommendations for each problem</w:t>
      </w:r>
    </w:p>
    <w:p>
      <w:pPr>
        <w:pStyle w:val="ListParagraph"/>
        <w:numPr>
          <w:ilvl w:val="0"/>
          <w:numId w:val="2"/>
        </w:numPr>
        <w:spacing w:after="60" w:before="40"/>
      </w:pPr>
      <w:r>
        <w:rPr>
          <w:rFonts w:ascii="Arial" w:cs="Arial" w:eastAsia="Arial" w:hAnsi="Arial"/>
          <w:color w:val="2C2C2C"/>
          <w:sz w:val="22"/>
          <w:szCs w:val="22"/>
        </w:rPr>
        <w:t xml:space="preserve">Eight new frontend features with implementation approaches</w:t>
      </w:r>
    </w:p>
    <w:p>
      <w:pPr>
        <w:spacing w:before="80"/>
      </w:pPr>
      <w:r>
        <w:t xml:space="preserve"/>
      </w:r>
    </w:p>
    <w:p>
      <w:pPr>
        <w:spacing w:after="100" w:before="60"/>
      </w:pPr>
      <w:r>
        <w:rPr>
          <w:rFonts w:ascii="Arial" w:cs="Arial" w:eastAsia="Arial" w:hAnsi="Arial"/>
          <w:b w:val="false"/>
          <w:bCs w:val="false"/>
          <w:color w:val="2C2C2C"/>
          <w:sz w:val="22"/>
          <w:szCs w:val="22"/>
        </w:rPr>
        <w:t xml:space="preserve">All recommendations in this document are frontend-only. No backend changes, data model changes, or API modifications are implied.</w:t>
      </w:r>
    </w:p>
    <w:p>
      <w:pPr>
        <w:pStyle w:val="Heading1"/>
        <w:spacing w:after="120" w:before="360"/>
      </w:pPr>
      <w:r>
        <w:rPr>
          <w:rFonts w:ascii="Arial" w:cs="Arial" w:eastAsia="Arial" w:hAnsi="Arial"/>
          <w:b/>
          <w:bCs/>
          <w:color w:val="1A1A2E"/>
          <w:sz w:val="32"/>
          <w:szCs w:val="32"/>
        </w:rPr>
        <w:t xml:space="preserve">2. Core Problems Identified</w:t>
      </w:r>
    </w:p>
    <w:p>
      <w:pPr>
        <w:pStyle w:val="Heading2"/>
        <w:pBdr>
          <w:bottom w:val="single" w:color="1A3C5E" w:sz="4" w:space="4"/>
        </w:pBdr>
        <w:spacing w:after="100" w:before="280"/>
      </w:pPr>
      <w:r>
        <w:rPr>
          <w:rFonts w:ascii="Arial" w:cs="Arial" w:eastAsia="Arial" w:hAnsi="Arial"/>
          <w:b/>
          <w:bCs/>
          <w:color w:val="1A3C5E"/>
          <w:sz w:val="26"/>
          <w:szCs w:val="26"/>
        </w:rPr>
        <w:t xml:space="preserve">2.1 Navigation — Admin Link Exposed Publicly</w:t>
      </w:r>
    </w:p>
    <w:p>
      <w:pPr>
        <w:spacing w:after="100" w:before="60"/>
      </w:pPr>
      <w:r>
        <w:rPr>
          <w:rFonts w:ascii="Arial" w:cs="Arial" w:eastAsia="Arial" w:hAnsi="Arial"/>
          <w:b w:val="false"/>
          <w:bCs w:val="false"/>
          <w:color w:val="2C2C2C"/>
          <w:sz w:val="22"/>
          <w:szCs w:val="22"/>
        </w:rPr>
        <w:t xml:space="preserve">Current state: The top navigation bar includes an “Admin” link visible to all users. It sits between “Participate” and the CTA buttons, at full visual weight.</w:t>
      </w:r>
    </w:p>
    <w:p>
      <w:pPr>
        <w:spacing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DC3C7" w:sz="1"/>
              <w:left w:val="single" w:color="BDC3C7" w:sz="1"/>
              <w:bottom w:val="single" w:color="BDC3C7" w:sz="1"/>
              <w:right w:val="single" w:color="BDC3C7" w:sz="1"/>
            </w:tcBorders>
            <w:shd w:fill="FADBD8" w:val="clear"/>
            <w:tcMar>
              <w:top w:type="dxa" w:w="100"/>
              <w:left w:type="dxa" w:w="140"/>
              <w:bottom w:type="dxa" w:w="100"/>
              <w:right w:type="dxa" w:w="140"/>
            </w:tcMar>
          </w:tcPr>
          <w:p>
            <w:r>
              <w:rPr>
                <w:rFonts w:ascii="Arial" w:cs="Arial" w:eastAsia="Arial" w:hAnsi="Arial"/>
                <w:b/>
                <w:bCs/>
                <w:color w:val="C0392B"/>
                <w:sz w:val="18"/>
                <w:szCs w:val="18"/>
              </w:rPr>
              <w:t xml:space="preserve">Issue</w:t>
            </w:r>
          </w:p>
          <w:p>
            <w:pPr>
              <w:spacing w:before="40"/>
            </w:pPr>
            <w:r>
              <w:rPr>
                <w:rFonts w:ascii="Arial" w:cs="Arial" w:eastAsia="Arial" w:hAnsi="Arial"/>
                <w:color w:val="2C2C2C"/>
                <w:sz w:val="20"/>
                <w:szCs w:val="20"/>
              </w:rPr>
              <w:t xml:space="preserve">Admin link is visible in the public nav bar. It signals the site is unfinished, exposes internal routes to public crawlers, and breaks the citizen-facing trust posture.</w:t>
            </w:r>
          </w:p>
        </w:tc>
        <w:tc>
          <w:tcPr>
            <w:tcW w:type="dxa" w:w="4500"/>
            <w:tcBorders>
              <w:top w:val="single" w:color="BDC3C7" w:sz="1"/>
              <w:left w:val="single" w:color="BDC3C7" w:sz="1"/>
              <w:bottom w:val="single" w:color="BDC3C7" w:sz="1"/>
              <w:right w:val="single" w:color="BDC3C7" w:sz="1"/>
            </w:tcBorders>
            <w:shd w:fill="D5F5E3" w:val="clear"/>
            <w:tcMar>
              <w:top w:type="dxa" w:w="100"/>
              <w:left w:type="dxa" w:w="140"/>
              <w:bottom w:type="dxa" w:w="100"/>
              <w:right w:type="dxa" w:w="140"/>
            </w:tcMar>
          </w:tcPr>
          <w:p>
            <w:r>
              <w:rPr>
                <w:rFonts w:ascii="Arial" w:cs="Arial" w:eastAsia="Arial" w:hAnsi="Arial"/>
                <w:b/>
                <w:bCs/>
                <w:color w:val="1E6B3A"/>
                <w:sz w:val="18"/>
                <w:szCs w:val="18"/>
              </w:rPr>
              <w:t xml:space="preserve">Fix</w:t>
            </w:r>
          </w:p>
          <w:p>
            <w:pPr>
              <w:spacing w:before="40"/>
            </w:pPr>
            <w:r>
              <w:rPr>
                <w:rFonts w:ascii="Arial" w:cs="Arial" w:eastAsia="Arial" w:hAnsi="Arial"/>
                <w:color w:val="2C2C2C"/>
                <w:sz w:val="20"/>
                <w:szCs w:val="20"/>
              </w:rPr>
              <w:t xml:space="preserve">Remove Admin from the public nav entirely. If an admin UI is needed, it should live at a separate route not linked from the public interface, or rendered conditionally only when an authenticated admin session is detected.</w:t>
            </w:r>
          </w:p>
        </w:tc>
      </w:tr>
    </w:tbl>
    <w:p>
      <w:pPr>
        <w:spacing w:before="80"/>
      </w:pPr>
      <w:r>
        <w:t xml:space="preserve"/>
      </w:r>
    </w:p>
    <w:p>
      <w:pPr>
        <w:spacing w:after="100" w:before="60"/>
      </w:pPr>
      <w:r>
        <w:rPr>
          <w:rFonts w:ascii="Arial" w:cs="Arial" w:eastAsia="Arial" w:hAnsi="Arial"/>
          <w:b w:val="false"/>
          <w:bCs w:val="false"/>
          <w:color w:val="2C2C2C"/>
          <w:sz w:val="22"/>
          <w:szCs w:val="22"/>
        </w:rPr>
        <w:t xml:space="preserve">Additional navigation issues:</w:t>
      </w:r>
    </w:p>
    <w:p>
      <w:pPr>
        <w:pStyle w:val="ListParagraph"/>
        <w:numPr>
          <w:ilvl w:val="0"/>
          <w:numId w:val="2"/>
        </w:numPr>
        <w:spacing w:after="60" w:before="40"/>
      </w:pPr>
      <w:r>
        <w:rPr>
          <w:rFonts w:ascii="Arial" w:cs="Arial" w:eastAsia="Arial" w:hAnsi="Arial"/>
          <w:color w:val="2C2C2C"/>
          <w:sz w:val="22"/>
          <w:szCs w:val="22"/>
        </w:rPr>
        <w:t xml:space="preserve">The USSD code (*384*16250#) is rendered as a raw tel: hyperlink with no copy affordance and generic anchor styling. It looks like a footnote.</w:t>
      </w:r>
    </w:p>
    <w:p>
      <w:pPr>
        <w:pStyle w:val="ListParagraph"/>
        <w:numPr>
          <w:ilvl w:val="0"/>
          <w:numId w:val="2"/>
        </w:numPr>
        <w:spacing w:after="60" w:before="40"/>
      </w:pPr>
      <w:r>
        <w:rPr>
          <w:rFonts w:ascii="Arial" w:cs="Arial" w:eastAsia="Arial" w:hAnsi="Arial"/>
          <w:color w:val="2C2C2C"/>
          <w:sz w:val="22"/>
          <w:szCs w:val="22"/>
        </w:rPr>
        <w:t xml:space="preserve">Two CTA buttons (Join in / *384*16250#) have equal visual weight in the header, creating a choice paralysis for new visitors.</w:t>
      </w:r>
    </w:p>
    <w:p>
      <w:pPr>
        <w:pStyle w:val="ListParagraph"/>
        <w:numPr>
          <w:ilvl w:val="0"/>
          <w:numId w:val="2"/>
        </w:numPr>
        <w:spacing w:after="60" w:before="40"/>
      </w:pPr>
      <w:r>
        <w:rPr>
          <w:rFonts w:ascii="Arial" w:cs="Arial" w:eastAsia="Arial" w:hAnsi="Arial"/>
          <w:color w:val="2C2C2C"/>
          <w:sz w:val="22"/>
          <w:szCs w:val="22"/>
        </w:rPr>
        <w:t xml:space="preserve">No active state differentiation on nav links beyond font weight — on mobile, active context is unclear.</w:t>
      </w:r>
    </w:p>
    <w:p>
      <w:pPr>
        <w:pStyle w:val="Heading2"/>
        <w:pBdr>
          <w:bottom w:val="single" w:color="1A3C5E" w:sz="4" w:space="4"/>
        </w:pBdr>
        <w:spacing w:after="100" w:before="280"/>
      </w:pPr>
      <w:r>
        <w:rPr>
          <w:rFonts w:ascii="Arial" w:cs="Arial" w:eastAsia="Arial" w:hAnsi="Arial"/>
          <w:b/>
          <w:bCs/>
          <w:color w:val="1A3C5E"/>
          <w:sz w:val="26"/>
          <w:szCs w:val="26"/>
        </w:rPr>
        <w:t xml:space="preserve">2.2 Hero Section — Flat Hierarchy and Line Length</w:t>
      </w:r>
    </w:p>
    <w:p>
      <w:pPr>
        <w:spacing w:after="100" w:before="60"/>
      </w:pPr>
      <w:r>
        <w:rPr>
          <w:rFonts w:ascii="Arial" w:cs="Arial" w:eastAsia="Arial" w:hAnsi="Arial"/>
          <w:b w:val="false"/>
          <w:bCs w:val="false"/>
          <w:color w:val="2C2C2C"/>
          <w:sz w:val="22"/>
          <w:szCs w:val="22"/>
        </w:rPr>
        <w:t xml:space="preserve">Current state: The hero headline is a single sentence in standard body weight. Two CTAs have equal size and color. Stats appear in cards below the fold with no connection to the headline.</w:t>
      </w:r>
    </w:p>
    <w:p>
      <w:pPr>
        <w:spacing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DC3C7" w:sz="1"/>
              <w:left w:val="single" w:color="BDC3C7" w:sz="1"/>
              <w:bottom w:val="single" w:color="BDC3C7" w:sz="1"/>
              <w:right w:val="single" w:color="BDC3C7" w:sz="1"/>
            </w:tcBorders>
            <w:shd w:fill="FADBD8" w:val="clear"/>
            <w:tcMar>
              <w:top w:type="dxa" w:w="100"/>
              <w:left w:type="dxa" w:w="140"/>
              <w:bottom w:type="dxa" w:w="100"/>
              <w:right w:type="dxa" w:w="140"/>
            </w:tcMar>
          </w:tcPr>
          <w:p>
            <w:r>
              <w:rPr>
                <w:rFonts w:ascii="Arial" w:cs="Arial" w:eastAsia="Arial" w:hAnsi="Arial"/>
                <w:b/>
                <w:bCs/>
                <w:color w:val="C0392B"/>
                <w:sz w:val="18"/>
                <w:szCs w:val="18"/>
              </w:rPr>
              <w:t xml:space="preserve">Issue</w:t>
            </w:r>
          </w:p>
          <w:p>
            <w:pPr>
              <w:spacing w:before="40"/>
            </w:pPr>
            <w:r>
              <w:rPr>
                <w:rFonts w:ascii="Arial" w:cs="Arial" w:eastAsia="Arial" w:hAnsi="Arial"/>
                <w:color w:val="2C2C2C"/>
                <w:sz w:val="20"/>
                <w:szCs w:val="20"/>
              </w:rPr>
              <w:t xml:space="preserve">Equal-weight CTAs create decision friction. The headline carries no sense of urgency or momentum. Stats are orphaned below the fold. Content stretches full-width causing 100+ character line lengths that cause eye strain.</w:t>
            </w:r>
          </w:p>
        </w:tc>
        <w:tc>
          <w:tcPr>
            <w:tcW w:type="dxa" w:w="4500"/>
            <w:tcBorders>
              <w:top w:val="single" w:color="BDC3C7" w:sz="1"/>
              <w:left w:val="single" w:color="BDC3C7" w:sz="1"/>
              <w:bottom w:val="single" w:color="BDC3C7" w:sz="1"/>
              <w:right w:val="single" w:color="BDC3C7" w:sz="1"/>
            </w:tcBorders>
            <w:shd w:fill="D5F5E3" w:val="clear"/>
            <w:tcMar>
              <w:top w:type="dxa" w:w="100"/>
              <w:left w:type="dxa" w:w="140"/>
              <w:bottom w:type="dxa" w:w="100"/>
              <w:right w:type="dxa" w:w="140"/>
            </w:tcMar>
          </w:tcPr>
          <w:p>
            <w:r>
              <w:rPr>
                <w:rFonts w:ascii="Arial" w:cs="Arial" w:eastAsia="Arial" w:hAnsi="Arial"/>
                <w:b/>
                <w:bCs/>
                <w:color w:val="1E6B3A"/>
                <w:sz w:val="18"/>
                <w:szCs w:val="18"/>
              </w:rPr>
              <w:t xml:space="preserve">Fix</w:t>
            </w:r>
          </w:p>
          <w:p>
            <w:pPr>
              <w:spacing w:before="40"/>
            </w:pPr>
            <w:r>
              <w:rPr>
                <w:rFonts w:ascii="Arial" w:cs="Arial" w:eastAsia="Arial" w:hAnsi="Arial"/>
                <w:color w:val="2C2C2C"/>
                <w:sz w:val="20"/>
                <w:szCs w:val="20"/>
              </w:rPr>
              <w:t xml:space="preserve">Establish a single primary CTA (Browse bills) and demote the secondary CTA to ghost/outline style. Cap the reading zone at approximately 520px with max-width. Anchor one live stat (e.g. ‘273 active bills’) directly in the eyebrow above the headline as a pulse indicator.</w:t>
            </w:r>
          </w:p>
        </w:tc>
      </w:tr>
    </w:tbl>
    <w:p>
      <w:pPr>
        <w:spacing w:before="80"/>
      </w:pPr>
      <w:r>
        <w:t xml:space="preserve"/>
      </w:r>
    </w:p>
    <w:p>
      <w:pPr>
        <w:pStyle w:val="Heading3"/>
        <w:spacing w:after="80" w:before="200"/>
      </w:pPr>
      <w:r>
        <w:rPr>
          <w:rFonts w:ascii="Arial" w:cs="Arial" w:eastAsia="Arial" w:hAnsi="Arial"/>
          <w:b/>
          <w:bCs/>
          <w:color w:val="1A1A2E"/>
          <w:sz w:val="22"/>
          <w:szCs w:val="22"/>
        </w:rPr>
        <w:t xml:space="preserve">Recommended hero layout:</w:t>
      </w:r>
    </w:p>
    <w:p>
      <w:pPr>
        <w:pStyle w:val="ListParagraph"/>
        <w:numPr>
          <w:ilvl w:val="0"/>
          <w:numId w:val="3"/>
        </w:numPr>
        <w:spacing w:after="60" w:before="40"/>
      </w:pPr>
      <w:r>
        <w:rPr>
          <w:rFonts w:ascii="Arial" w:cs="Arial" w:eastAsia="Arial" w:hAnsi="Arial"/>
          <w:color w:val="2C2C2C"/>
          <w:sz w:val="22"/>
          <w:szCs w:val="22"/>
        </w:rPr>
        <w:t xml:space="preserve">Eyebrow: pulsing green dot + “273 bills active right now”</w:t>
      </w:r>
    </w:p>
    <w:p>
      <w:pPr>
        <w:pStyle w:val="ListParagraph"/>
        <w:numPr>
          <w:ilvl w:val="0"/>
          <w:numId w:val="3"/>
        </w:numPr>
        <w:spacing w:after="60" w:before="40"/>
      </w:pPr>
      <w:r>
        <w:rPr>
          <w:rFonts w:ascii="Arial" w:cs="Arial" w:eastAsia="Arial" w:hAnsi="Arial"/>
          <w:color w:val="2C2C2C"/>
          <w:sz w:val="22"/>
          <w:szCs w:val="22"/>
        </w:rPr>
        <w:t xml:space="preserve">H1: “Parliament in your pocket. No noise.”</w:t>
      </w:r>
    </w:p>
    <w:p>
      <w:pPr>
        <w:pStyle w:val="ListParagraph"/>
        <w:numPr>
          <w:ilvl w:val="0"/>
          <w:numId w:val="3"/>
        </w:numPr>
        <w:spacing w:after="60" w:before="40"/>
      </w:pPr>
      <w:r>
        <w:rPr>
          <w:rFonts w:ascii="Arial" w:cs="Arial" w:eastAsia="Arial" w:hAnsi="Arial"/>
          <w:color w:val="2C2C2C"/>
          <w:sz w:val="22"/>
          <w:szCs w:val="22"/>
        </w:rPr>
        <w:t xml:space="preserve">Subtitle: one sentence, max 420px wide</w:t>
      </w:r>
    </w:p>
    <w:p>
      <w:pPr>
        <w:pStyle w:val="ListParagraph"/>
        <w:numPr>
          <w:ilvl w:val="0"/>
          <w:numId w:val="3"/>
        </w:numPr>
        <w:spacing w:after="60" w:before="40"/>
      </w:pPr>
      <w:r>
        <w:rPr>
          <w:rFonts w:ascii="Arial" w:cs="Arial" w:eastAsia="Arial" w:hAnsi="Arial"/>
          <w:color w:val="2C2C2C"/>
          <w:sz w:val="22"/>
          <w:szCs w:val="22"/>
        </w:rPr>
        <w:t xml:space="preserve">Primary button: “Browse bills” (filled, dark)</w:t>
      </w:r>
    </w:p>
    <w:p>
      <w:pPr>
        <w:pStyle w:val="ListParagraph"/>
        <w:numPr>
          <w:ilvl w:val="0"/>
          <w:numId w:val="3"/>
        </w:numPr>
        <w:spacing w:after="60" w:before="40"/>
      </w:pPr>
      <w:r>
        <w:rPr>
          <w:rFonts w:ascii="Arial" w:cs="Arial" w:eastAsia="Arial" w:hAnsi="Arial"/>
          <w:color w:val="2C2C2C"/>
          <w:sz w:val="22"/>
          <w:szCs w:val="22"/>
        </w:rPr>
        <w:t xml:space="preserve">Ghost button: “How it works” (outline)</w:t>
      </w:r>
    </w:p>
    <w:p>
      <w:pPr>
        <w:pStyle w:val="ListParagraph"/>
        <w:numPr>
          <w:ilvl w:val="0"/>
          <w:numId w:val="3"/>
        </w:numPr>
        <w:spacing w:after="60" w:before="40"/>
      </w:pPr>
      <w:r>
        <w:rPr>
          <w:rFonts w:ascii="Arial" w:cs="Arial" w:eastAsia="Arial" w:hAnsi="Arial"/>
          <w:color w:val="2C2C2C"/>
          <w:sz w:val="22"/>
          <w:szCs w:val="22"/>
        </w:rPr>
        <w:t xml:space="preserve">USSD callout below buttons: “No smartphone? Dial *384*16250# on any Safaricom line.”</w:t>
      </w:r>
    </w:p>
    <w:p>
      <w:pPr>
        <w:pStyle w:val="ListParagraph"/>
        <w:numPr>
          <w:ilvl w:val="0"/>
          <w:numId w:val="3"/>
        </w:numPr>
        <w:spacing w:after="60" w:before="40"/>
      </w:pPr>
      <w:r>
        <w:rPr>
          <w:rFonts w:ascii="Arial" w:cs="Arial" w:eastAsia="Arial" w:hAnsi="Arial"/>
          <w:color w:val="2C2C2C"/>
          <w:sz w:val="22"/>
          <w:szCs w:val="22"/>
        </w:rPr>
        <w:t xml:space="preserve">Stat strip: full-width horizontal band separated by 1px gridlines</w:t>
      </w:r>
    </w:p>
    <w:p>
      <w:pPr>
        <w:pStyle w:val="Heading2"/>
        <w:pBdr>
          <w:bottom w:val="single" w:color="1A3C5E" w:sz="4" w:space="4"/>
        </w:pBdr>
        <w:spacing w:after="100" w:before="280"/>
      </w:pPr>
      <w:r>
        <w:rPr>
          <w:rFonts w:ascii="Arial" w:cs="Arial" w:eastAsia="Arial" w:hAnsi="Arial"/>
          <w:b/>
          <w:bCs/>
          <w:color w:val="1A3C5E"/>
          <w:sz w:val="26"/>
          <w:szCs w:val="26"/>
        </w:rPr>
        <w:t xml:space="preserve">2.3 Bills Library — Missing Skeleton States and Filter UX</w:t>
      </w:r>
    </w:p>
    <w:p>
      <w:pPr>
        <w:spacing w:after="100" w:before="60"/>
      </w:pPr>
      <w:r>
        <w:rPr>
          <w:rFonts w:ascii="Arial" w:cs="Arial" w:eastAsia="Arial" w:hAnsi="Arial"/>
          <w:b w:val="false"/>
          <w:bCs w:val="false"/>
          <w:color w:val="2C2C2C"/>
          <w:sz w:val="22"/>
          <w:szCs w:val="22"/>
        </w:rPr>
        <w:t xml:space="preserve">Current state: The bills library renders a spinner with no skeleton state while loading. Category filters are hidden inside a dropdown. Bill cards show a title and a single tag with no engagement signals.</w:t>
      </w:r>
    </w:p>
    <w:p>
      <w:pPr>
        <w:spacing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DC3C7" w:sz="1"/>
              <w:left w:val="single" w:color="BDC3C7" w:sz="1"/>
              <w:bottom w:val="single" w:color="BDC3C7" w:sz="1"/>
              <w:right w:val="single" w:color="BDC3C7" w:sz="1"/>
            </w:tcBorders>
            <w:shd w:fill="FADBD8" w:val="clear"/>
            <w:tcMar>
              <w:top w:type="dxa" w:w="100"/>
              <w:left w:type="dxa" w:w="140"/>
              <w:bottom w:type="dxa" w:w="100"/>
              <w:right w:type="dxa" w:w="140"/>
            </w:tcMar>
          </w:tcPr>
          <w:p>
            <w:r>
              <w:rPr>
                <w:rFonts w:ascii="Arial" w:cs="Arial" w:eastAsia="Arial" w:hAnsi="Arial"/>
                <w:b/>
                <w:bCs/>
                <w:color w:val="C0392B"/>
                <w:sz w:val="18"/>
                <w:szCs w:val="18"/>
              </w:rPr>
              <w:t xml:space="preserve">Issue</w:t>
            </w:r>
          </w:p>
          <w:p>
            <w:pPr>
              <w:spacing w:before="40"/>
            </w:pPr>
            <w:r>
              <w:rPr>
                <w:rFonts w:ascii="Arial" w:cs="Arial" w:eastAsia="Arial" w:hAnsi="Arial"/>
                <w:color w:val="2C2C2C"/>
                <w:sz w:val="20"/>
                <w:szCs w:val="20"/>
              </w:rPr>
              <w:t xml:space="preserve">A blank spinner gives no signal about what’s loading or how long it will take. Users interpret this as broken. A category dropdown hides all options behind an interaction. Bill cards contain insufficient information to decide whether to click through.</w:t>
            </w:r>
          </w:p>
        </w:tc>
        <w:tc>
          <w:tcPr>
            <w:tcW w:type="dxa" w:w="4500"/>
            <w:tcBorders>
              <w:top w:val="single" w:color="BDC3C7" w:sz="1"/>
              <w:left w:val="single" w:color="BDC3C7" w:sz="1"/>
              <w:bottom w:val="single" w:color="BDC3C7" w:sz="1"/>
              <w:right w:val="single" w:color="BDC3C7" w:sz="1"/>
            </w:tcBorders>
            <w:shd w:fill="D5F5E3" w:val="clear"/>
            <w:tcMar>
              <w:top w:type="dxa" w:w="100"/>
              <w:left w:type="dxa" w:w="140"/>
              <w:bottom w:type="dxa" w:w="100"/>
              <w:right w:type="dxa" w:w="140"/>
            </w:tcMar>
          </w:tcPr>
          <w:p>
            <w:r>
              <w:rPr>
                <w:rFonts w:ascii="Arial" w:cs="Arial" w:eastAsia="Arial" w:hAnsi="Arial"/>
                <w:b/>
                <w:bCs/>
                <w:color w:val="1E6B3A"/>
                <w:sz w:val="18"/>
                <w:szCs w:val="18"/>
              </w:rPr>
              <w:t xml:space="preserve">Fix</w:t>
            </w:r>
          </w:p>
          <w:p>
            <w:pPr>
              <w:spacing w:before="40"/>
            </w:pPr>
            <w:r>
              <w:rPr>
                <w:rFonts w:ascii="Arial" w:cs="Arial" w:eastAsia="Arial" w:hAnsi="Arial"/>
                <w:color w:val="2C2C2C"/>
                <w:sz w:val="20"/>
                <w:szCs w:val="20"/>
              </w:rPr>
              <w:t xml:space="preserve">Add skeleton placeholder cards (3–5 shimmering placeholder rows) during load. Replace the category dropdown with horizontal filter chips showing all options simultaneously. Enrich bill cards to include: category tag, legislative stage badge, sponsor label, and engagement count (signatures + votes).</w:t>
            </w:r>
          </w:p>
        </w:tc>
      </w:tr>
    </w:tbl>
    <w:p>
      <w:pPr>
        <w:spacing w:before="80"/>
      </w:pPr>
      <w:r>
        <w:t xml:space="preserve"/>
      </w:r>
    </w:p>
    <w:p>
      <w:pPr>
        <w:spacing w:after="100" w:before="60"/>
      </w:pPr>
      <w:r>
        <w:rPr>
          <w:rFonts w:ascii="Arial" w:cs="Arial" w:eastAsia="Arial" w:hAnsi="Arial"/>
          <w:b w:val="false"/>
          <w:bCs w:val="false"/>
          <w:color w:val="2C2C2C"/>
          <w:sz w:val="22"/>
          <w:szCs w:val="22"/>
        </w:rPr>
        <w:t xml:space="preserve">Filter chip implementation (CSS only):</w:t>
      </w:r>
    </w:p>
    <w:p>
      <w:pPr>
        <w:pStyle w:val="ListParagraph"/>
        <w:numPr>
          <w:ilvl w:val="0"/>
          <w:numId w:val="2"/>
        </w:numPr>
        <w:spacing w:after="60" w:before="40"/>
      </w:pPr>
      <w:r>
        <w:rPr>
          <w:rFonts w:ascii="Arial" w:cs="Arial" w:eastAsia="Arial" w:hAnsi="Arial"/>
          <w:color w:val="2C2C2C"/>
          <w:sz w:val="22"/>
          <w:szCs w:val="22"/>
        </w:rPr>
        <w:t xml:space="preserve">Render chips as a flex row with gap: 8px, overflow-x: auto on mobile</w:t>
      </w:r>
    </w:p>
    <w:p>
      <w:pPr>
        <w:pStyle w:val="ListParagraph"/>
        <w:numPr>
          <w:ilvl w:val="0"/>
          <w:numId w:val="2"/>
        </w:numPr>
        <w:spacing w:after="60" w:before="40"/>
      </w:pPr>
      <w:r>
        <w:rPr>
          <w:rFonts w:ascii="Arial" w:cs="Arial" w:eastAsia="Arial" w:hAnsi="Arial"/>
          <w:color w:val="2C2C2C"/>
          <w:sz w:val="22"/>
          <w:szCs w:val="22"/>
        </w:rPr>
        <w:t xml:space="preserve">Active chip: dark background + white text (no border)</w:t>
      </w:r>
    </w:p>
    <w:p>
      <w:pPr>
        <w:pStyle w:val="ListParagraph"/>
        <w:numPr>
          <w:ilvl w:val="0"/>
          <w:numId w:val="2"/>
        </w:numPr>
        <w:spacing w:after="60" w:before="40"/>
      </w:pPr>
      <w:r>
        <w:rPr>
          <w:rFonts w:ascii="Arial" w:cs="Arial" w:eastAsia="Arial" w:hAnsi="Arial"/>
          <w:color w:val="2C2C2C"/>
          <w:sz w:val="22"/>
          <w:szCs w:val="22"/>
        </w:rPr>
        <w:t xml:space="preserve">Inactive chip: outline border + secondary text</w:t>
      </w:r>
    </w:p>
    <w:p>
      <w:pPr>
        <w:pStyle w:val="ListParagraph"/>
        <w:numPr>
          <w:ilvl w:val="0"/>
          <w:numId w:val="2"/>
        </w:numPr>
        <w:spacing w:after="60" w:before="40"/>
      </w:pPr>
      <w:r>
        <w:rPr>
          <w:rFonts w:ascii="Arial" w:cs="Arial" w:eastAsia="Arial" w:hAnsi="Arial"/>
          <w:color w:val="2C2C2C"/>
          <w:sz w:val="22"/>
          <w:szCs w:val="22"/>
        </w:rPr>
        <w:t xml:space="preserve">Add a “All” chip as default selection</w:t>
      </w:r>
    </w:p>
    <w:p>
      <w:pPr>
        <w:pStyle w:val="Heading2"/>
        <w:pBdr>
          <w:bottom w:val="single" w:color="1A3C5E" w:sz="4" w:space="4"/>
        </w:pBdr>
        <w:spacing w:after="100" w:before="280"/>
      </w:pPr>
      <w:r>
        <w:rPr>
          <w:rFonts w:ascii="Arial" w:cs="Arial" w:eastAsia="Arial" w:hAnsi="Arial"/>
          <w:b/>
          <w:bCs/>
          <w:color w:val="1A3C5E"/>
          <w:sz w:val="26"/>
          <w:szCs w:val="26"/>
        </w:rPr>
        <w:t xml:space="preserve">2.4 Pagination — No Count Feedback</w:t>
      </w:r>
    </w:p>
    <w:p>
      <w:pPr>
        <w:spacing w:after="100" w:before="60"/>
      </w:pPr>
      <w:r>
        <w:rPr>
          <w:rFonts w:ascii="Arial" w:cs="Arial" w:eastAsia="Arial" w:hAnsi="Arial"/>
          <w:b w:val="false"/>
          <w:bCs w:val="false"/>
          <w:color w:val="2C2C2C"/>
          <w:sz w:val="22"/>
          <w:szCs w:val="22"/>
        </w:rPr>
        <w:t xml:space="preserve">Current state: No visible pagination on the bills list. Users have no indication that 273 bills exist across multiple pages.</w:t>
      </w:r>
    </w:p>
    <w:p>
      <w:pPr>
        <w:spacing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DC3C7" w:sz="1"/>
              <w:left w:val="single" w:color="BDC3C7" w:sz="1"/>
              <w:bottom w:val="single" w:color="BDC3C7" w:sz="1"/>
              <w:right w:val="single" w:color="BDC3C7" w:sz="1"/>
            </w:tcBorders>
            <w:shd w:fill="FADBD8" w:val="clear"/>
            <w:tcMar>
              <w:top w:type="dxa" w:w="100"/>
              <w:left w:type="dxa" w:w="140"/>
              <w:bottom w:type="dxa" w:w="100"/>
              <w:right w:type="dxa" w:w="140"/>
            </w:tcMar>
          </w:tcPr>
          <w:p>
            <w:r>
              <w:rPr>
                <w:rFonts w:ascii="Arial" w:cs="Arial" w:eastAsia="Arial" w:hAnsi="Arial"/>
                <w:b/>
                <w:bCs/>
                <w:color w:val="C0392B"/>
                <w:sz w:val="18"/>
                <w:szCs w:val="18"/>
              </w:rPr>
              <w:t xml:space="preserve">Issue</w:t>
            </w:r>
          </w:p>
          <w:p>
            <w:pPr>
              <w:spacing w:before="40"/>
            </w:pPr>
            <w:r>
              <w:rPr>
                <w:rFonts w:ascii="Arial" w:cs="Arial" w:eastAsia="Arial" w:hAnsi="Arial"/>
                <w:color w:val="2C2C2C"/>
                <w:sz w:val="20"/>
                <w:szCs w:val="20"/>
              </w:rPr>
              <w:t xml:space="preserve">Without pagination feedback, users cannot orient themselves within the dataset. 273 bills is a meaningful number that should anchor user expectations but is buried in a stat card, not connected to the list.</w:t>
            </w:r>
          </w:p>
        </w:tc>
        <w:tc>
          <w:tcPr>
            <w:tcW w:type="dxa" w:w="4500"/>
            <w:tcBorders>
              <w:top w:val="single" w:color="BDC3C7" w:sz="1"/>
              <w:left w:val="single" w:color="BDC3C7" w:sz="1"/>
              <w:bottom w:val="single" w:color="BDC3C7" w:sz="1"/>
              <w:right w:val="single" w:color="BDC3C7" w:sz="1"/>
            </w:tcBorders>
            <w:shd w:fill="D5F5E3" w:val="clear"/>
            <w:tcMar>
              <w:top w:type="dxa" w:w="100"/>
              <w:left w:type="dxa" w:w="140"/>
              <w:bottom w:type="dxa" w:w="100"/>
              <w:right w:type="dxa" w:w="140"/>
            </w:tcMar>
          </w:tcPr>
          <w:p>
            <w:r>
              <w:rPr>
                <w:rFonts w:ascii="Arial" w:cs="Arial" w:eastAsia="Arial" w:hAnsi="Arial"/>
                <w:b/>
                <w:bCs/>
                <w:color w:val="1E6B3A"/>
                <w:sz w:val="18"/>
                <w:szCs w:val="18"/>
              </w:rPr>
              <w:t xml:space="preserve">Fix</w:t>
            </w:r>
          </w:p>
          <w:p>
            <w:pPr>
              <w:spacing w:before="40"/>
            </w:pPr>
            <w:r>
              <w:rPr>
                <w:rFonts w:ascii="Arial" w:cs="Arial" w:eastAsia="Arial" w:hAnsi="Arial"/>
                <w:color w:val="2C2C2C"/>
                <w:sz w:val="20"/>
                <w:szCs w:val="20"/>
              </w:rPr>
              <w:t xml:space="preserve">Add a ‘Showing 1–20 of 273’ label above the list. Implement numbered pagination: Previous / 1 / 2 / 3 / … / 14 / Next. Active page uses filled style. Non-active pages use outline. This is purely a CSS + HTML/JS component — no backend changes needed.</w:t>
            </w:r>
          </w:p>
        </w:tc>
      </w:tr>
    </w:tbl>
    <w:p>
      <w:pPr>
        <w:pStyle w:val="Heading2"/>
        <w:pBdr>
          <w:bottom w:val="single" w:color="1A3C5E" w:sz="4" w:space="4"/>
        </w:pBdr>
        <w:spacing w:after="100" w:before="280"/>
      </w:pPr>
      <w:r>
        <w:rPr>
          <w:rFonts w:ascii="Arial" w:cs="Arial" w:eastAsia="Arial" w:hAnsi="Arial"/>
          <w:b/>
          <w:bCs/>
          <w:color w:val="1A3C5E"/>
          <w:sz w:val="26"/>
          <w:szCs w:val="26"/>
        </w:rPr>
        <w:t xml:space="preserve">2.5 Participation Poll — Form vs. Civic Signal</w:t>
      </w:r>
    </w:p>
    <w:p>
      <w:pPr>
        <w:spacing w:after="100" w:before="60"/>
      </w:pPr>
      <w:r>
        <w:rPr>
          <w:rFonts w:ascii="Arial" w:cs="Arial" w:eastAsia="Arial" w:hAnsi="Arial"/>
          <w:b w:val="false"/>
          <w:bCs w:val="false"/>
          <w:color w:val="2C2C2C"/>
          <w:sz w:val="22"/>
          <w:szCs w:val="22"/>
        </w:rPr>
        <w:t xml:space="preserve">Current state: The public opinion poll is implemented as three radio buttons (Support / Oppose / Need info) inside a form. Current vote counts are not visible before participating. The widget has no heading that anchors it to a specific bill.</w:t>
      </w:r>
    </w:p>
    <w:p>
      <w:pPr>
        <w:spacing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DC3C7" w:sz="1"/>
              <w:left w:val="single" w:color="BDC3C7" w:sz="1"/>
              <w:bottom w:val="single" w:color="BDC3C7" w:sz="1"/>
              <w:right w:val="single" w:color="BDC3C7" w:sz="1"/>
            </w:tcBorders>
            <w:shd w:fill="FADBD8" w:val="clear"/>
            <w:tcMar>
              <w:top w:type="dxa" w:w="100"/>
              <w:left w:type="dxa" w:w="140"/>
              <w:bottom w:type="dxa" w:w="100"/>
              <w:right w:type="dxa" w:w="140"/>
            </w:tcMar>
          </w:tcPr>
          <w:p>
            <w:r>
              <w:rPr>
                <w:rFonts w:ascii="Arial" w:cs="Arial" w:eastAsia="Arial" w:hAnsi="Arial"/>
                <w:b/>
                <w:bCs/>
                <w:color w:val="C0392B"/>
                <w:sz w:val="18"/>
                <w:szCs w:val="18"/>
              </w:rPr>
              <w:t xml:space="preserve">Issue</w:t>
            </w:r>
          </w:p>
          <w:p>
            <w:pPr>
              <w:spacing w:before="40"/>
            </w:pPr>
            <w:r>
              <w:rPr>
                <w:rFonts w:ascii="Arial" w:cs="Arial" w:eastAsia="Arial" w:hAnsi="Arial"/>
                <w:color w:val="2C2C2C"/>
                <w:sz w:val="20"/>
                <w:szCs w:val="20"/>
              </w:rPr>
              <w:t xml:space="preserve">Radio buttons communicate “input form,” not “civic participation.” Hiding the distribution until after voting misses the social proof opportunity. The widget is not visually connected to the bill it belongs to.</w:t>
            </w:r>
          </w:p>
        </w:tc>
        <w:tc>
          <w:tcPr>
            <w:tcW w:type="dxa" w:w="4500"/>
            <w:tcBorders>
              <w:top w:val="single" w:color="BDC3C7" w:sz="1"/>
              <w:left w:val="single" w:color="BDC3C7" w:sz="1"/>
              <w:bottom w:val="single" w:color="BDC3C7" w:sz="1"/>
              <w:right w:val="single" w:color="BDC3C7" w:sz="1"/>
            </w:tcBorders>
            <w:shd w:fill="D5F5E3" w:val="clear"/>
            <w:tcMar>
              <w:top w:type="dxa" w:w="100"/>
              <w:left w:type="dxa" w:w="140"/>
              <w:bottom w:type="dxa" w:w="100"/>
              <w:right w:type="dxa" w:w="140"/>
            </w:tcMar>
          </w:tcPr>
          <w:p>
            <w:r>
              <w:rPr>
                <w:rFonts w:ascii="Arial" w:cs="Arial" w:eastAsia="Arial" w:hAnsi="Arial"/>
                <w:b/>
                <w:bCs/>
                <w:color w:val="1E6B3A"/>
                <w:sz w:val="18"/>
                <w:szCs w:val="18"/>
              </w:rPr>
              <w:t xml:space="preserve">Fix</w:t>
            </w:r>
          </w:p>
          <w:p>
            <w:pPr>
              <w:spacing w:before="40"/>
            </w:pPr>
            <w:r>
              <w:rPr>
                <w:rFonts w:ascii="Arial" w:cs="Arial" w:eastAsia="Arial" w:hAnsi="Arial"/>
                <w:color w:val="2C2C2C"/>
                <w:sz w:val="20"/>
                <w:szCs w:val="20"/>
              </w:rPr>
              <w:t xml:space="preserve">Replace radio buttons with a three-column layout showing live percentage bars per option before the user votes. Add a response count (‘8 responses so far’) for social proof. Display the bill title above the poll as context. After voting, animate the bar update.</w:t>
            </w:r>
          </w:p>
        </w:tc>
      </w:tr>
    </w:tbl>
    <w:p>
      <w:pPr>
        <w:pStyle w:val="Heading2"/>
        <w:pBdr>
          <w:bottom w:val="single" w:color="1A3C5E" w:sz="4" w:space="4"/>
        </w:pBdr>
        <w:spacing w:after="100" w:before="280"/>
      </w:pPr>
      <w:r>
        <w:rPr>
          <w:rFonts w:ascii="Arial" w:cs="Arial" w:eastAsia="Arial" w:hAnsi="Arial"/>
          <w:b/>
          <w:bCs/>
          <w:color w:val="1A3C5E"/>
          <w:sz w:val="26"/>
          <w:szCs w:val="26"/>
        </w:rPr>
        <w:t xml:space="preserve">2.6 USSD Block — Unique Differentiator Buried</w:t>
      </w:r>
    </w:p>
    <w:p>
      <w:pPr>
        <w:spacing w:after="100" w:before="60"/>
      </w:pPr>
      <w:r>
        <w:rPr>
          <w:rFonts w:ascii="Arial" w:cs="Arial" w:eastAsia="Arial" w:hAnsi="Arial"/>
          <w:b w:val="false"/>
          <w:bCs w:val="false"/>
          <w:color w:val="2C2C2C"/>
          <w:sz w:val="22"/>
          <w:szCs w:val="22"/>
        </w:rPr>
        <w:t xml:space="preserve">Current state: The USSD dial code (*384*16250#) is styled the same as surrounding body text in the offline section. There is no copy-to-clipboard button. The block does not visually stand apart.</w:t>
      </w:r>
    </w:p>
    <w:p>
      <w:pPr>
        <w:spacing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DC3C7" w:sz="1"/>
              <w:left w:val="single" w:color="BDC3C7" w:sz="1"/>
              <w:bottom w:val="single" w:color="BDC3C7" w:sz="1"/>
              <w:right w:val="single" w:color="BDC3C7" w:sz="1"/>
            </w:tcBorders>
            <w:shd w:fill="FADBD8" w:val="clear"/>
            <w:tcMar>
              <w:top w:type="dxa" w:w="100"/>
              <w:left w:type="dxa" w:w="140"/>
              <w:bottom w:type="dxa" w:w="100"/>
              <w:right w:type="dxa" w:w="140"/>
            </w:tcMar>
          </w:tcPr>
          <w:p>
            <w:r>
              <w:rPr>
                <w:rFonts w:ascii="Arial" w:cs="Arial" w:eastAsia="Arial" w:hAnsi="Arial"/>
                <w:b/>
                <w:bCs/>
                <w:color w:val="C0392B"/>
                <w:sz w:val="18"/>
                <w:szCs w:val="18"/>
              </w:rPr>
              <w:t xml:space="preserve">Issue</w:t>
            </w:r>
          </w:p>
          <w:p>
            <w:pPr>
              <w:spacing w:before="40"/>
            </w:pPr>
            <w:r>
              <w:rPr>
                <w:rFonts w:ascii="Arial" w:cs="Arial" w:eastAsia="Arial" w:hAnsi="Arial"/>
                <w:color w:val="2C2C2C"/>
                <w:sz w:val="20"/>
                <w:szCs w:val="20"/>
              </w:rPr>
              <w:t xml:space="preserve">USSD access is the single most differentiating feature of Bunge Mkononi — it works on basic feature phones with no internet. It receives no special visual treatment and is easy to miss.</w:t>
            </w:r>
          </w:p>
        </w:tc>
        <w:tc>
          <w:tcPr>
            <w:tcW w:type="dxa" w:w="4500"/>
            <w:tcBorders>
              <w:top w:val="single" w:color="BDC3C7" w:sz="1"/>
              <w:left w:val="single" w:color="BDC3C7" w:sz="1"/>
              <w:bottom w:val="single" w:color="BDC3C7" w:sz="1"/>
              <w:right w:val="single" w:color="BDC3C7" w:sz="1"/>
            </w:tcBorders>
            <w:shd w:fill="D5F5E3" w:val="clear"/>
            <w:tcMar>
              <w:top w:type="dxa" w:w="100"/>
              <w:left w:type="dxa" w:w="140"/>
              <w:bottom w:type="dxa" w:w="100"/>
              <w:right w:type="dxa" w:w="140"/>
            </w:tcMar>
          </w:tcPr>
          <w:p>
            <w:r>
              <w:rPr>
                <w:rFonts w:ascii="Arial" w:cs="Arial" w:eastAsia="Arial" w:hAnsi="Arial"/>
                <w:b/>
                <w:bCs/>
                <w:color w:val="1E6B3A"/>
                <w:sz w:val="18"/>
                <w:szCs w:val="18"/>
              </w:rPr>
              <w:t xml:space="preserve">Fix</w:t>
            </w:r>
          </w:p>
          <w:p>
            <w:pPr>
              <w:spacing w:before="40"/>
            </w:pPr>
            <w:r>
              <w:rPr>
                <w:rFonts w:ascii="Arial" w:cs="Arial" w:eastAsia="Arial" w:hAnsi="Arial"/>
                <w:color w:val="2C2C2C"/>
                <w:sz w:val="20"/>
                <w:szCs w:val="20"/>
              </w:rPr>
              <w:t xml:space="preserve">Render the USSD code in monospace font at 24px minimum inside a visually isolated block with a distinct background. Add a copy-to-clipboard button. Separate USSD and SMS into distinct action items. This block should be the first thing users see in the offline section.</w:t>
            </w:r>
          </w:p>
        </w:tc>
      </w:tr>
    </w:tbl>
    <w:p>
      <w:pPr>
        <w:pStyle w:val="Heading2"/>
        <w:pBdr>
          <w:bottom w:val="single" w:color="1A3C5E" w:sz="4" w:space="4"/>
        </w:pBdr>
        <w:spacing w:after="100" w:before="280"/>
      </w:pPr>
      <w:r>
        <w:rPr>
          <w:rFonts w:ascii="Arial" w:cs="Arial" w:eastAsia="Arial" w:hAnsi="Arial"/>
          <w:b/>
          <w:bCs/>
          <w:color w:val="1A3C5E"/>
          <w:sz w:val="26"/>
          <w:szCs w:val="26"/>
        </w:rPr>
        <w:t xml:space="preserve">2.7 Typography and Reading Width</w:t>
      </w:r>
    </w:p>
    <w:p>
      <w:pPr>
        <w:spacing w:after="100" w:before="60"/>
      </w:pPr>
      <w:r>
        <w:rPr>
          <w:rFonts w:ascii="Arial" w:cs="Arial" w:eastAsia="Arial" w:hAnsi="Arial"/>
          <w:b w:val="false"/>
          <w:bCs w:val="false"/>
          <w:color w:val="2C2C2C"/>
          <w:sz w:val="22"/>
          <w:szCs w:val="22"/>
        </w:rPr>
        <w:t xml:space="preserve">Current state: Content spans full viewport width on desktop. No max-width constraint on the content area. Font weight distribution is flat throughout — labels, values, body text, and metadata all render at similar weights.</w:t>
      </w:r>
    </w:p>
    <w:p>
      <w:pPr>
        <w:spacing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DC3C7" w:sz="1"/>
              <w:left w:val="single" w:color="BDC3C7" w:sz="1"/>
              <w:bottom w:val="single" w:color="BDC3C7" w:sz="1"/>
              <w:right w:val="single" w:color="BDC3C7" w:sz="1"/>
            </w:tcBorders>
            <w:shd w:fill="FADBD8" w:val="clear"/>
            <w:tcMar>
              <w:top w:type="dxa" w:w="100"/>
              <w:left w:type="dxa" w:w="140"/>
              <w:bottom w:type="dxa" w:w="100"/>
              <w:right w:type="dxa" w:w="140"/>
            </w:tcMar>
          </w:tcPr>
          <w:p>
            <w:r>
              <w:rPr>
                <w:rFonts w:ascii="Arial" w:cs="Arial" w:eastAsia="Arial" w:hAnsi="Arial"/>
                <w:b/>
                <w:bCs/>
                <w:color w:val="C0392B"/>
                <w:sz w:val="18"/>
                <w:szCs w:val="18"/>
              </w:rPr>
              <w:t xml:space="preserve">Issue</w:t>
            </w:r>
          </w:p>
          <w:p>
            <w:pPr>
              <w:spacing w:before="40"/>
            </w:pPr>
            <w:r>
              <w:rPr>
                <w:rFonts w:ascii="Arial" w:cs="Arial" w:eastAsia="Arial" w:hAnsi="Arial"/>
                <w:color w:val="2C2C2C"/>
                <w:sz w:val="20"/>
                <w:szCs w:val="20"/>
              </w:rPr>
              <w:t xml:space="preserve">Full-width content on a 1440px monitor produces line lengths of 150+ characters, which is nearly double the readable maximum of 70–75 characters. This causes rapid eye fatigue. Flat weight distribution means the user’s eye has no hierarchy to follow.</w:t>
            </w:r>
          </w:p>
        </w:tc>
        <w:tc>
          <w:tcPr>
            <w:tcW w:type="dxa" w:w="4500"/>
            <w:tcBorders>
              <w:top w:val="single" w:color="BDC3C7" w:sz="1"/>
              <w:left w:val="single" w:color="BDC3C7" w:sz="1"/>
              <w:bottom w:val="single" w:color="BDC3C7" w:sz="1"/>
              <w:right w:val="single" w:color="BDC3C7" w:sz="1"/>
            </w:tcBorders>
            <w:shd w:fill="D5F5E3" w:val="clear"/>
            <w:tcMar>
              <w:top w:type="dxa" w:w="100"/>
              <w:left w:type="dxa" w:w="140"/>
              <w:bottom w:type="dxa" w:w="100"/>
              <w:right w:type="dxa" w:w="140"/>
            </w:tcMar>
          </w:tcPr>
          <w:p>
            <w:r>
              <w:rPr>
                <w:rFonts w:ascii="Arial" w:cs="Arial" w:eastAsia="Arial" w:hAnsi="Arial"/>
                <w:b/>
                <w:bCs/>
                <w:color w:val="1E6B3A"/>
                <w:sz w:val="18"/>
                <w:szCs w:val="18"/>
              </w:rPr>
              <w:t xml:space="preserve">Fix</w:t>
            </w:r>
          </w:p>
          <w:p>
            <w:pPr>
              <w:spacing w:before="40"/>
            </w:pPr>
            <w:r>
              <w:rPr>
                <w:rFonts w:ascii="Arial" w:cs="Arial" w:eastAsia="Arial" w:hAnsi="Arial"/>
                <w:color w:val="2C2C2C"/>
                <w:sz w:val="20"/>
                <w:szCs w:val="20"/>
              </w:rPr>
              <w:t xml:space="preserve">Add max-width: 680px to the primary content area, centered. Use a clear three-tier weight system: 500 for primary labels and values, 400 for body and descriptions, and 300 or tertiary color for metadata and secondary context. Apply this consistently across all bill cards, stat cells, and section headings.</w:t>
            </w:r>
          </w:p>
        </w:tc>
      </w:tr>
    </w:tbl>
    <w:p>
      <w:pPr>
        <w:pStyle w:val="Heading2"/>
        <w:pBdr>
          <w:bottom w:val="single" w:color="1A3C5E" w:sz="4" w:space="4"/>
        </w:pBdr>
        <w:spacing w:after="100" w:before="280"/>
      </w:pPr>
      <w:r>
        <w:rPr>
          <w:rFonts w:ascii="Arial" w:cs="Arial" w:eastAsia="Arial" w:hAnsi="Arial"/>
          <w:b/>
          <w:bCs/>
          <w:color w:val="1A3C5E"/>
          <w:sz w:val="26"/>
          <w:szCs w:val="26"/>
        </w:rPr>
        <w:t xml:space="preserve">2.8 Empty State Design</w:t>
      </w:r>
    </w:p>
    <w:p>
      <w:pPr>
        <w:spacing w:after="100" w:before="60"/>
      </w:pPr>
      <w:r>
        <w:rPr>
          <w:rFonts w:ascii="Arial" w:cs="Arial" w:eastAsia="Arial" w:hAnsi="Arial"/>
          <w:b w:val="false"/>
          <w:bCs w:val="false"/>
          <w:color w:val="2C2C2C"/>
          <w:sz w:val="22"/>
          <w:szCs w:val="22"/>
        </w:rPr>
        <w:t xml:space="preserve">Current state: Several sections (Trending Petitions, County Telemetry, Featured Bill) display placeholder text such as “No active petitions at this moment” or “Featured bill data will appear here once the dashboard loads.” These are developer-facing messages, not citizen-facing UI.</w:t>
      </w:r>
    </w:p>
    <w:p>
      <w:pPr>
        <w:spacing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DC3C7" w:sz="1"/>
              <w:left w:val="single" w:color="BDC3C7" w:sz="1"/>
              <w:bottom w:val="single" w:color="BDC3C7" w:sz="1"/>
              <w:right w:val="single" w:color="BDC3C7" w:sz="1"/>
            </w:tcBorders>
            <w:shd w:fill="FADBD8" w:val="clear"/>
            <w:tcMar>
              <w:top w:type="dxa" w:w="100"/>
              <w:left w:type="dxa" w:w="140"/>
              <w:bottom w:type="dxa" w:w="100"/>
              <w:right w:type="dxa" w:w="140"/>
            </w:tcMar>
          </w:tcPr>
          <w:p>
            <w:r>
              <w:rPr>
                <w:rFonts w:ascii="Arial" w:cs="Arial" w:eastAsia="Arial" w:hAnsi="Arial"/>
                <w:b/>
                <w:bCs/>
                <w:color w:val="C0392B"/>
                <w:sz w:val="18"/>
                <w:szCs w:val="18"/>
              </w:rPr>
              <w:t xml:space="preserve">Issue</w:t>
            </w:r>
          </w:p>
          <w:p>
            <w:pPr>
              <w:spacing w:before="40"/>
            </w:pPr>
            <w:r>
              <w:rPr>
                <w:rFonts w:ascii="Arial" w:cs="Arial" w:eastAsia="Arial" w:hAnsi="Arial"/>
                <w:color w:val="2C2C2C"/>
                <w:sz w:val="20"/>
                <w:szCs w:val="20"/>
              </w:rPr>
              <w:t xml:space="preserve">Developer placeholder copy breaks immersion and signals incompleteness. Empty states should be actionable and contextual, not technical.</w:t>
            </w:r>
          </w:p>
        </w:tc>
        <w:tc>
          <w:tcPr>
            <w:tcW w:type="dxa" w:w="4500"/>
            <w:tcBorders>
              <w:top w:val="single" w:color="BDC3C7" w:sz="1"/>
              <w:left w:val="single" w:color="BDC3C7" w:sz="1"/>
              <w:bottom w:val="single" w:color="BDC3C7" w:sz="1"/>
              <w:right w:val="single" w:color="BDC3C7" w:sz="1"/>
            </w:tcBorders>
            <w:shd w:fill="D5F5E3" w:val="clear"/>
            <w:tcMar>
              <w:top w:type="dxa" w:w="100"/>
              <w:left w:type="dxa" w:w="140"/>
              <w:bottom w:type="dxa" w:w="100"/>
              <w:right w:type="dxa" w:w="140"/>
            </w:tcMar>
          </w:tcPr>
          <w:p>
            <w:r>
              <w:rPr>
                <w:rFonts w:ascii="Arial" w:cs="Arial" w:eastAsia="Arial" w:hAnsi="Arial"/>
                <w:b/>
                <w:bCs/>
                <w:color w:val="1E6B3A"/>
                <w:sz w:val="18"/>
                <w:szCs w:val="18"/>
              </w:rPr>
              <w:t xml:space="preserve">Fix</w:t>
            </w:r>
          </w:p>
          <w:p>
            <w:pPr>
              <w:spacing w:before="40"/>
            </w:pPr>
            <w:r>
              <w:rPr>
                <w:rFonts w:ascii="Arial" w:cs="Arial" w:eastAsia="Arial" w:hAnsi="Arial"/>
                <w:color w:val="2C2C2C"/>
                <w:sz w:val="20"/>
                <w:szCs w:val="20"/>
              </w:rPr>
              <w:t xml:space="preserve">Replace all placeholder messages with designed empty states. Each should: (1) use a simple icon or illustration, (2) explain why the section is empty in plain language, (3) offer a next action. Example: “No petitions yet — bills get petition support once citizens subscribe.” with a ‘Browse bills’ button.</w:t>
            </w:r>
          </w:p>
        </w:tc>
      </w:tr>
    </w:tbl>
    <w:p>
      <w:pPr>
        <w:pStyle w:val="Heading1"/>
        <w:spacing w:after="120" w:before="360"/>
      </w:pPr>
      <w:r>
        <w:rPr>
          <w:rFonts w:ascii="Arial" w:cs="Arial" w:eastAsia="Arial" w:hAnsi="Arial"/>
          <w:b/>
          <w:bCs/>
          <w:color w:val="1A1A2E"/>
          <w:sz w:val="32"/>
          <w:szCs w:val="32"/>
        </w:rPr>
        <w:t xml:space="preserve">3. Recommended New Frontend Features</w:t>
      </w:r>
    </w:p>
    <w:p>
      <w:pPr>
        <w:spacing w:after="100" w:before="60"/>
      </w:pPr>
      <w:r>
        <w:rPr>
          <w:rFonts w:ascii="Arial" w:cs="Arial" w:eastAsia="Arial" w:hAnsi="Arial"/>
          <w:b w:val="false"/>
          <w:bCs w:val="false"/>
          <w:color w:val="2C2C2C"/>
          <w:sz w:val="22"/>
          <w:szCs w:val="22"/>
        </w:rPr>
        <w:t xml:space="preserve">The following eight features are additive — none require changes to the existing data model or API. They are purely frontend enhancements that can be built against the existing data the site already has.</w:t>
      </w:r>
    </w:p>
    <w:p>
      <w:pPr>
        <w:spacing w:before="80"/>
      </w:pPr>
      <w:r>
        <w:t xml:space="preserve"/>
      </w:r>
    </w:p>
    <w:p>
      <w:pPr>
        <w:pStyle w:val="Heading2"/>
        <w:pBdr>
          <w:bottom w:val="single" w:color="1A3C5E" w:sz="4" w:space="4"/>
        </w:pBdr>
        <w:spacing w:after="100" w:before="280"/>
      </w:pPr>
      <w:r>
        <w:rPr>
          <w:rFonts w:ascii="Arial" w:cs="Arial" w:eastAsia="Arial" w:hAnsi="Arial"/>
          <w:b/>
          <w:bCs/>
          <w:color w:val="1A3C5E"/>
          <w:sz w:val="26"/>
          <w:szCs w:val="26"/>
        </w:rPr>
        <w:t xml:space="preserve">3.1 Bill Progress Timeline</w:t>
      </w:r>
    </w:p>
    <w:p>
      <w:pPr>
        <w:spacing w:after="100" w:before="60"/>
      </w:pPr>
      <w:r>
        <w:rPr>
          <w:rFonts w:ascii="Arial" w:cs="Arial" w:eastAsia="Arial" w:hAnsi="Arial"/>
          <w:b w:val="false"/>
          <w:bCs w:val="false"/>
          <w:color w:val="2C2C2C"/>
          <w:sz w:val="22"/>
          <w:szCs w:val="22"/>
        </w:rPr>
        <w:t xml:space="preserve">What it is: A horizontal or vertical stepper that visualises a bill’s legislative journey from First Reading through Presidential Assent.</w:t>
      </w:r>
    </w:p>
    <w:p>
      <w:pPr>
        <w:spacing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5100"/>
        <w:gridCol w:w="1300"/>
      </w:tblGrid>
      <w:tr>
        <w:trPr>
          <w:tblHeader/>
        </w:trPr>
        <w:tc>
          <w:tcPr>
            <w:tcW w:type="dxa" w:w="26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1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Implementation Approach</w:t>
            </w:r>
          </w:p>
        </w:tc>
        <w:tc>
          <w:tcPr>
            <w:tcW w:type="dxa" w:w="13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Bill Progress Timeline</w:t>
            </w:r>
          </w:p>
        </w:tc>
        <w:tc>
          <w:tcPr>
            <w:tcW w:type="dxa" w:w="5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2C2C"/>
                <w:sz w:val="20"/>
                <w:szCs w:val="20"/>
              </w:rPr>
              <w:t xml:space="preserve">SVG or CSS-based horizontal stepper. Steps: First Reading → Second Reading → Committee Stage → Third Reading → Presidential Assent. Current stage is filled/active, past stages are ticked, future stages are muted. Render on the individual Bill Story page above the document list.</w:t>
            </w:r>
          </w:p>
        </w:tc>
        <w:tc>
          <w:tcPr>
            <w:tcW w:type="dxa" w:w="13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bCs/>
                <w:color w:val="C0392B"/>
                <w:sz w:val="18"/>
                <w:szCs w:val="18"/>
              </w:rPr>
              <w:t xml:space="preserve">High</w:t>
            </w:r>
          </w:p>
        </w:tc>
      </w:tr>
    </w:tbl>
    <w:p>
      <w:pPr>
        <w:spacing w:before="80"/>
      </w:pPr>
      <w:r>
        <w:t xml:space="preserve"/>
      </w:r>
    </w:p>
    <w:p>
      <w:pPr>
        <w:spacing w:after="100" w:before="60"/>
      </w:pPr>
      <w:r>
        <w:rPr>
          <w:rFonts w:ascii="Arial" w:cs="Arial" w:eastAsia="Arial" w:hAnsi="Arial"/>
          <w:b w:val="false"/>
          <w:bCs w:val="false"/>
          <w:color w:val="2C2C2C"/>
          <w:sz w:val="22"/>
          <w:szCs w:val="22"/>
        </w:rPr>
        <w:t xml:space="preserve">Implementation approach:</w:t>
      </w:r>
    </w:p>
    <w:p>
      <w:pPr>
        <w:pStyle w:val="ListParagraph"/>
        <w:numPr>
          <w:ilvl w:val="0"/>
          <w:numId w:val="2"/>
        </w:numPr>
        <w:spacing w:after="60" w:before="40"/>
      </w:pPr>
      <w:r>
        <w:rPr>
          <w:rFonts w:ascii="Arial" w:cs="Arial" w:eastAsia="Arial" w:hAnsi="Arial"/>
          <w:color w:val="2C2C2C"/>
          <w:sz w:val="22"/>
          <w:szCs w:val="22"/>
        </w:rPr>
        <w:t xml:space="preserve">Build as a pure CSS component using a flex row of step nodes connected by lines</w:t>
      </w:r>
    </w:p>
    <w:p>
      <w:pPr>
        <w:pStyle w:val="ListParagraph"/>
        <w:numPr>
          <w:ilvl w:val="0"/>
          <w:numId w:val="2"/>
        </w:numPr>
        <w:spacing w:after="60" w:before="40"/>
      </w:pPr>
      <w:r>
        <w:rPr>
          <w:rFonts w:ascii="Arial" w:cs="Arial" w:eastAsia="Arial" w:hAnsi="Arial"/>
          <w:color w:val="2C2C2C"/>
          <w:sz w:val="22"/>
          <w:szCs w:val="22"/>
        </w:rPr>
        <w:t xml:space="preserve">Pass stage as a prop or data attribute (e.g. data-stage="2") and use CSS :nth-child selectors to style active/past/future steps</w:t>
      </w:r>
    </w:p>
    <w:p>
      <w:pPr>
        <w:pStyle w:val="ListParagraph"/>
        <w:numPr>
          <w:ilvl w:val="0"/>
          <w:numId w:val="2"/>
        </w:numPr>
        <w:spacing w:after="60" w:before="40"/>
      </w:pPr>
      <w:r>
        <w:rPr>
          <w:rFonts w:ascii="Arial" w:cs="Arial" w:eastAsia="Arial" w:hAnsi="Arial"/>
          <w:color w:val="2C2C2C"/>
          <w:sz w:val="22"/>
          <w:szCs w:val="22"/>
        </w:rPr>
        <w:t xml:space="preserve">No JavaScript required for rendering — only for accessibility keyboard navigation</w:t>
      </w:r>
    </w:p>
    <w:p>
      <w:pPr>
        <w:pStyle w:val="ListParagraph"/>
        <w:numPr>
          <w:ilvl w:val="0"/>
          <w:numId w:val="2"/>
        </w:numPr>
        <w:spacing w:after="60" w:before="40"/>
      </w:pPr>
      <w:r>
        <w:rPr>
          <w:rFonts w:ascii="Arial" w:cs="Arial" w:eastAsia="Arial" w:hAnsi="Arial"/>
          <w:color w:val="2C2C2C"/>
          <w:sz w:val="22"/>
          <w:szCs w:val="22"/>
        </w:rPr>
        <w:t xml:space="preserve">On mobile, collapse to a vertical list with connecting line on the left</w:t>
      </w:r>
    </w:p>
    <w:p>
      <w:pPr>
        <w:pStyle w:val="Heading2"/>
        <w:pBdr>
          <w:bottom w:val="single" w:color="1A3C5E" w:sz="4" w:space="4"/>
        </w:pBdr>
        <w:spacing w:after="100" w:before="280"/>
      </w:pPr>
      <w:r>
        <w:rPr>
          <w:rFonts w:ascii="Arial" w:cs="Arial" w:eastAsia="Arial" w:hAnsi="Arial"/>
          <w:b/>
          <w:bCs/>
          <w:color w:val="1A3C5E"/>
          <w:sz w:val="26"/>
          <w:szCs w:val="26"/>
        </w:rPr>
        <w:t xml:space="preserve">3.2 USSD Code Copy-to-Clipboard</w:t>
      </w:r>
    </w:p>
    <w:p>
      <w:pPr>
        <w:spacing w:after="100" w:before="60"/>
      </w:pPr>
      <w:r>
        <w:rPr>
          <w:rFonts w:ascii="Arial" w:cs="Arial" w:eastAsia="Arial" w:hAnsi="Arial"/>
          <w:b w:val="false"/>
          <w:bCs w:val="false"/>
          <w:color w:val="2C2C2C"/>
          <w:sz w:val="22"/>
          <w:szCs w:val="22"/>
        </w:rPr>
        <w:t xml:space="preserve">What it is: A copy button next to the USSD code (*384*16250#) that copies the code to the user’s clipboard and shows a brief confirmation.</w:t>
      </w:r>
    </w:p>
    <w:p>
      <w:pPr>
        <w:spacing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5100"/>
        <w:gridCol w:w="1300"/>
      </w:tblGrid>
      <w:tr>
        <w:trPr>
          <w:tblHeader/>
        </w:trPr>
        <w:tc>
          <w:tcPr>
            <w:tcW w:type="dxa" w:w="26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1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Implementation Approach</w:t>
            </w:r>
          </w:p>
        </w:tc>
        <w:tc>
          <w:tcPr>
            <w:tcW w:type="dxa" w:w="13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USSD Copy Button</w:t>
            </w:r>
          </w:p>
        </w:tc>
        <w:tc>
          <w:tcPr>
            <w:tcW w:type="dxa" w:w="5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2C2C"/>
                <w:sz w:val="20"/>
                <w:szCs w:val="20"/>
              </w:rPr>
              <w:t xml:space="preserve">Add a copy icon button adjacent to the monospace USSD code. On click: navigator.clipboard.writeText(). Replace icon with a checkmark for 2 seconds, then revert. Add a tooltip: “Copy dial code.” Requires only ~10 lines of vanilla JS.</w:t>
            </w:r>
          </w:p>
        </w:tc>
        <w:tc>
          <w:tcPr>
            <w:tcW w:type="dxa" w:w="13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bCs/>
                <w:color w:val="C0392B"/>
                <w:sz w:val="18"/>
                <w:szCs w:val="18"/>
              </w:rPr>
              <w:t xml:space="preserve">High</w:t>
            </w:r>
          </w:p>
        </w:tc>
      </w:tr>
    </w:tbl>
    <w:p>
      <w:pPr>
        <w:spacing w:before="80"/>
      </w:pPr>
      <w:r>
        <w:t xml:space="preserve"/>
      </w:r>
    </w:p>
    <w:p>
      <w:pPr>
        <w:spacing w:after="100" w:before="60"/>
      </w:pPr>
      <w:r>
        <w:rPr>
          <w:rFonts w:ascii="Arial" w:cs="Arial" w:eastAsia="Arial" w:hAnsi="Arial"/>
          <w:b w:val="false"/>
          <w:bCs w:val="false"/>
          <w:color w:val="2C2C2C"/>
          <w:sz w:val="22"/>
          <w:szCs w:val="22"/>
        </w:rPr>
        <w:t xml:space="preserve">This addresses a real user need: Kenyan mobile users frequently share USSD codes via WhatsApp or SMS. Making the code copyable reduces friction in the share flow significantly.</w:t>
      </w:r>
    </w:p>
    <w:p>
      <w:pPr>
        <w:pStyle w:val="Heading2"/>
        <w:pBdr>
          <w:bottom w:val="single" w:color="1A3C5E" w:sz="4" w:space="4"/>
        </w:pBdr>
        <w:spacing w:after="100" w:before="280"/>
      </w:pPr>
      <w:r>
        <w:rPr>
          <w:rFonts w:ascii="Arial" w:cs="Arial" w:eastAsia="Arial" w:hAnsi="Arial"/>
          <w:b/>
          <w:bCs/>
          <w:color w:val="1A3C5E"/>
          <w:sz w:val="26"/>
          <w:szCs w:val="26"/>
        </w:rPr>
        <w:t xml:space="preserve">3.3 Bill Share Sheet</w:t>
      </w:r>
    </w:p>
    <w:p>
      <w:pPr>
        <w:spacing w:after="100" w:before="60"/>
      </w:pPr>
      <w:r>
        <w:rPr>
          <w:rFonts w:ascii="Arial" w:cs="Arial" w:eastAsia="Arial" w:hAnsi="Arial"/>
          <w:b w:val="false"/>
          <w:bCs w:val="false"/>
          <w:color w:val="2C2C2C"/>
          <w:sz w:val="22"/>
          <w:szCs w:val="22"/>
        </w:rPr>
        <w:t xml:space="preserve">What it is: A lightweight share UI on each bill page allowing users to share a bill via WhatsApp, SMS, or by copying a direct link.</w:t>
      </w:r>
    </w:p>
    <w:p>
      <w:pPr>
        <w:spacing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5100"/>
        <w:gridCol w:w="1300"/>
      </w:tblGrid>
      <w:tr>
        <w:trPr>
          <w:tblHeader/>
        </w:trPr>
        <w:tc>
          <w:tcPr>
            <w:tcW w:type="dxa" w:w="26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1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Implementation Approach</w:t>
            </w:r>
          </w:p>
        </w:tc>
        <w:tc>
          <w:tcPr>
            <w:tcW w:type="dxa" w:w="13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Bill Share Sheet</w:t>
            </w:r>
          </w:p>
        </w:tc>
        <w:tc>
          <w:tcPr>
            <w:tcW w:type="dxa" w:w="5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2C2C"/>
                <w:sz w:val="20"/>
                <w:szCs w:val="20"/>
              </w:rPr>
              <w:t xml:space="preserve">Add a Share button to each bill card and bill detail page. On click: show a small popover with three options. WhatsApp: construct a wa.me link with the bill title and URL. SMS: use sms: scheme with pre-filled text. Copy link: clipboard API. Style as a floating card anchored to the button. Dismiss on outside click.</w:t>
            </w:r>
          </w:p>
        </w:tc>
        <w:tc>
          <w:tcPr>
            <w:tcW w:type="dxa" w:w="13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bCs/>
                <w:color w:val="C0392B"/>
                <w:sz w:val="18"/>
                <w:szCs w:val="18"/>
              </w:rPr>
              <w:t xml:space="preserve">High</w:t>
            </w:r>
          </w:p>
        </w:tc>
      </w:tr>
    </w:tbl>
    <w:p>
      <w:pPr>
        <w:spacing w:before="80"/>
      </w:pPr>
      <w:r>
        <w:t xml:space="preserve"/>
      </w:r>
    </w:p>
    <w:p>
      <w:pPr>
        <w:spacing w:after="100" w:before="60"/>
      </w:pPr>
      <w:r>
        <w:rPr>
          <w:rFonts w:ascii="Arial" w:cs="Arial" w:eastAsia="Arial" w:hAnsi="Arial"/>
          <w:b w:val="false"/>
          <w:bCs w:val="false"/>
          <w:color w:val="2C2C2C"/>
          <w:sz w:val="22"/>
          <w:szCs w:val="22"/>
        </w:rPr>
        <w:t xml:space="preserve">Implementation notes:</w:t>
      </w:r>
    </w:p>
    <w:p>
      <w:pPr>
        <w:pStyle w:val="ListParagraph"/>
        <w:numPr>
          <w:ilvl w:val="0"/>
          <w:numId w:val="2"/>
        </w:numPr>
        <w:spacing w:after="60" w:before="40"/>
      </w:pPr>
      <w:r>
        <w:rPr>
          <w:rFonts w:ascii="Arial" w:cs="Arial" w:eastAsia="Arial" w:hAnsi="Arial"/>
          <w:color w:val="2C2C2C"/>
          <w:sz w:val="22"/>
          <w:szCs w:val="22"/>
        </w:rPr>
        <w:t xml:space="preserve">WhatsApp deep link: https://wa.me/?text=encodeURIComponent(title + url)</w:t>
      </w:r>
    </w:p>
    <w:p>
      <w:pPr>
        <w:pStyle w:val="ListParagraph"/>
        <w:numPr>
          <w:ilvl w:val="0"/>
          <w:numId w:val="2"/>
        </w:numPr>
        <w:spacing w:after="60" w:before="40"/>
      </w:pPr>
      <w:r>
        <w:rPr>
          <w:rFonts w:ascii="Arial" w:cs="Arial" w:eastAsia="Arial" w:hAnsi="Arial"/>
          <w:color w:val="2C2C2C"/>
          <w:sz w:val="22"/>
          <w:szCs w:val="22"/>
        </w:rPr>
        <w:t xml:space="preserve">SMS deep link: sms:?body=encodeURIComponent(text)</w:t>
      </w:r>
    </w:p>
    <w:p>
      <w:pPr>
        <w:pStyle w:val="ListParagraph"/>
        <w:numPr>
          <w:ilvl w:val="0"/>
          <w:numId w:val="2"/>
        </w:numPr>
        <w:spacing w:after="60" w:before="40"/>
      </w:pPr>
      <w:r>
        <w:rPr>
          <w:rFonts w:ascii="Arial" w:cs="Arial" w:eastAsia="Arial" w:hAnsi="Arial"/>
          <w:color w:val="2C2C2C"/>
          <w:sz w:val="22"/>
          <w:szCs w:val="22"/>
        </w:rPr>
        <w:t xml:space="preserve">The Web Share API (navigator.share) can be used as a progressive enhancement on supported mobile browsers — falls back to the manual popover on desktop</w:t>
      </w:r>
    </w:p>
    <w:p>
      <w:pPr>
        <w:pStyle w:val="Heading2"/>
        <w:pBdr>
          <w:bottom w:val="single" w:color="1A3C5E" w:sz="4" w:space="4"/>
        </w:pBdr>
        <w:spacing w:after="100" w:before="280"/>
      </w:pPr>
      <w:r>
        <w:rPr>
          <w:rFonts w:ascii="Arial" w:cs="Arial" w:eastAsia="Arial" w:hAnsi="Arial"/>
          <w:b/>
          <w:bCs/>
          <w:color w:val="1A3C5E"/>
          <w:sz w:val="26"/>
          <w:szCs w:val="26"/>
        </w:rPr>
        <w:t xml:space="preserve">3.4 Bill Comparison View</w:t>
      </w:r>
    </w:p>
    <w:p>
      <w:pPr>
        <w:spacing w:after="100" w:before="60"/>
      </w:pPr>
      <w:r>
        <w:rPr>
          <w:rFonts w:ascii="Arial" w:cs="Arial" w:eastAsia="Arial" w:hAnsi="Arial"/>
          <w:b w:val="false"/>
          <w:bCs w:val="false"/>
          <w:color w:val="2C2C2C"/>
          <w:sz w:val="22"/>
          <w:szCs w:val="22"/>
        </w:rPr>
        <w:t xml:space="preserve">What it is: A side-by-side comparison panel allowing a user to compare two bills across key attributes (category, sponsor, stage, vote count, subscription count).</w:t>
      </w:r>
    </w:p>
    <w:p>
      <w:pPr>
        <w:spacing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5100"/>
        <w:gridCol w:w="1300"/>
      </w:tblGrid>
      <w:tr>
        <w:trPr>
          <w:tblHeader/>
        </w:trPr>
        <w:tc>
          <w:tcPr>
            <w:tcW w:type="dxa" w:w="26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1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Implementation Approach</w:t>
            </w:r>
          </w:p>
        </w:tc>
        <w:tc>
          <w:tcPr>
            <w:tcW w:type="dxa" w:w="13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Bill Comparison</w:t>
            </w:r>
          </w:p>
        </w:tc>
        <w:tc>
          <w:tcPr>
            <w:tcW w:type="dxa" w:w="5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2C2C"/>
                <w:sz w:val="20"/>
                <w:szCs w:val="20"/>
              </w:rPr>
              <w:t xml:space="preserve">Add a ‘Compare’ checkbox to each bill card. When two bills are checked, a sticky bottom panel appears showing a side-by-side attribute table. Built entirely in CSS grid + JS state. No new routes required.</w:t>
            </w:r>
          </w:p>
        </w:tc>
        <w:tc>
          <w:tcPr>
            <w:tcW w:type="dxa" w:w="13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bCs/>
                <w:color w:val="E67E22"/>
                <w:sz w:val="18"/>
                <w:szCs w:val="18"/>
              </w:rPr>
              <w:t xml:space="preserve">Medium</w:t>
            </w:r>
          </w:p>
        </w:tc>
      </w:tr>
    </w:tbl>
    <w:p>
      <w:pPr>
        <w:spacing w:before="80"/>
      </w:pPr>
      <w:r>
        <w:t xml:space="preserve"/>
      </w:r>
    </w:p>
    <w:p>
      <w:pPr>
        <w:spacing w:after="100" w:before="60"/>
      </w:pPr>
      <w:r>
        <w:rPr>
          <w:rFonts w:ascii="Arial" w:cs="Arial" w:eastAsia="Arial" w:hAnsi="Arial"/>
          <w:b w:val="false"/>
          <w:bCs w:val="false"/>
          <w:color w:val="2C2C2C"/>
          <w:sz w:val="22"/>
          <w:szCs w:val="22"/>
        </w:rPr>
        <w:t xml:space="preserve">Implementation approach:</w:t>
      </w:r>
    </w:p>
    <w:p>
      <w:pPr>
        <w:pStyle w:val="ListParagraph"/>
        <w:numPr>
          <w:ilvl w:val="0"/>
          <w:numId w:val="2"/>
        </w:numPr>
        <w:spacing w:after="60" w:before="40"/>
      </w:pPr>
      <w:r>
        <w:rPr>
          <w:rFonts w:ascii="Arial" w:cs="Arial" w:eastAsia="Arial" w:hAnsi="Arial"/>
          <w:color w:val="2C2C2C"/>
          <w:sz w:val="22"/>
          <w:szCs w:val="22"/>
        </w:rPr>
        <w:t xml:space="preserve">Maintain a comparison array in component state (max 2 bills)</w:t>
      </w:r>
    </w:p>
    <w:p>
      <w:pPr>
        <w:pStyle w:val="ListParagraph"/>
        <w:numPr>
          <w:ilvl w:val="0"/>
          <w:numId w:val="2"/>
        </w:numPr>
        <w:spacing w:after="60" w:before="40"/>
      </w:pPr>
      <w:r>
        <w:rPr>
          <w:rFonts w:ascii="Arial" w:cs="Arial" w:eastAsia="Arial" w:hAnsi="Arial"/>
          <w:color w:val="2C2C2C"/>
          <w:sz w:val="22"/>
          <w:szCs w:val="22"/>
        </w:rPr>
        <w:t xml:space="preserve">Render a fixed-position panel at the bottom of the viewport when array.length === 2</w:t>
      </w:r>
    </w:p>
    <w:p>
      <w:pPr>
        <w:pStyle w:val="ListParagraph"/>
        <w:numPr>
          <w:ilvl w:val="0"/>
          <w:numId w:val="2"/>
        </w:numPr>
        <w:spacing w:after="60" w:before="40"/>
      </w:pPr>
      <w:r>
        <w:rPr>
          <w:rFonts w:ascii="Arial" w:cs="Arial" w:eastAsia="Arial" w:hAnsi="Arial"/>
          <w:color w:val="2C2C2C"/>
          <w:sz w:val="22"/>
          <w:szCs w:val="22"/>
        </w:rPr>
        <w:t xml:space="preserve">Use a CSS grid with two equal columns for the comparison table</w:t>
      </w:r>
    </w:p>
    <w:p>
      <w:pPr>
        <w:pStyle w:val="ListParagraph"/>
        <w:numPr>
          <w:ilvl w:val="0"/>
          <w:numId w:val="2"/>
        </w:numPr>
        <w:spacing w:after="60" w:before="40"/>
      </w:pPr>
      <w:r>
        <w:rPr>
          <w:rFonts w:ascii="Arial" w:cs="Arial" w:eastAsia="Arial" w:hAnsi="Arial"/>
          <w:color w:val="2C2C2C"/>
          <w:sz w:val="22"/>
          <w:szCs w:val="22"/>
        </w:rPr>
        <w:t xml:space="preserve">Highlight differences between the two bills using a yellow background on differing cells</w:t>
      </w:r>
    </w:p>
    <w:p>
      <w:pPr>
        <w:pStyle w:val="ListParagraph"/>
        <w:numPr>
          <w:ilvl w:val="0"/>
          <w:numId w:val="2"/>
        </w:numPr>
        <w:spacing w:after="60" w:before="40"/>
      </w:pPr>
      <w:r>
        <w:rPr>
          <w:rFonts w:ascii="Arial" w:cs="Arial" w:eastAsia="Arial" w:hAnsi="Arial"/>
          <w:color w:val="2C2C2C"/>
          <w:sz w:val="22"/>
          <w:szCs w:val="22"/>
        </w:rPr>
        <w:t xml:space="preserve">Add a dismiss button and an ‘Open both’ link</w:t>
      </w:r>
    </w:p>
    <w:p>
      <w:pPr>
        <w:pStyle w:val="Heading2"/>
        <w:pBdr>
          <w:bottom w:val="single" w:color="1A3C5E" w:sz="4" w:space="4"/>
        </w:pBdr>
        <w:spacing w:after="100" w:before="280"/>
      </w:pPr>
      <w:r>
        <w:rPr>
          <w:rFonts w:ascii="Arial" w:cs="Arial" w:eastAsia="Arial" w:hAnsi="Arial"/>
          <w:b/>
          <w:bCs/>
          <w:color w:val="1A3C5E"/>
          <w:sz w:val="26"/>
          <w:szCs w:val="26"/>
        </w:rPr>
        <w:t xml:space="preserve">3.5 Inline Bill Search with Keyboard Navigation</w:t>
      </w:r>
    </w:p>
    <w:p>
      <w:pPr>
        <w:spacing w:after="100" w:before="60"/>
      </w:pPr>
      <w:r>
        <w:rPr>
          <w:rFonts w:ascii="Arial" w:cs="Arial" w:eastAsia="Arial" w:hAnsi="Arial"/>
          <w:b w:val="false"/>
          <w:bCs w:val="false"/>
          <w:color w:val="2C2C2C"/>
          <w:sz w:val="22"/>
          <w:szCs w:val="22"/>
        </w:rPr>
        <w:t xml:space="preserve">What it is: A search input that filters the bill list in real-time as the user types, with keyboard shortcuts for power users.</w:t>
      </w:r>
    </w:p>
    <w:p>
      <w:pPr>
        <w:spacing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5100"/>
        <w:gridCol w:w="1300"/>
      </w:tblGrid>
      <w:tr>
        <w:trPr>
          <w:tblHeader/>
        </w:trPr>
        <w:tc>
          <w:tcPr>
            <w:tcW w:type="dxa" w:w="26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1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Implementation Approach</w:t>
            </w:r>
          </w:p>
        </w:tc>
        <w:tc>
          <w:tcPr>
            <w:tcW w:type="dxa" w:w="13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Inline Bill Search</w:t>
            </w:r>
          </w:p>
        </w:tc>
        <w:tc>
          <w:tcPr>
            <w:tcW w:type="dxa" w:w="5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2C2C"/>
                <w:sz w:val="20"/>
                <w:szCs w:val="20"/>
              </w:rPr>
              <w:t xml:space="preserve">The search box already exists but currently shows ‘Refreshing’. Upgrade it: debounce the input by 200ms, filter the rendered bill list client-side on title, sponsor, and category. Add Ctrl+K / Cmd+K global shortcut to focus the search box. Display a ‘No results’ empty state with a suggestion to widen the filter.</w:t>
            </w:r>
          </w:p>
        </w:tc>
        <w:tc>
          <w:tcPr>
            <w:tcW w:type="dxa" w:w="13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bCs/>
                <w:color w:val="C0392B"/>
                <w:sz w:val="18"/>
                <w:szCs w:val="18"/>
              </w:rPr>
              <w:t xml:space="preserve">High</w:t>
            </w:r>
          </w:p>
        </w:tc>
      </w:tr>
    </w:tbl>
    <w:p>
      <w:pPr>
        <w:spacing w:before="80"/>
      </w:pPr>
      <w:r>
        <w:t xml:space="preserve"/>
      </w:r>
    </w:p>
    <w:p>
      <w:pPr>
        <w:spacing w:after="100" w:before="60"/>
      </w:pPr>
      <w:r>
        <w:rPr>
          <w:rFonts w:ascii="Arial" w:cs="Arial" w:eastAsia="Arial" w:hAnsi="Arial"/>
          <w:b w:val="false"/>
          <w:bCs w:val="false"/>
          <w:color w:val="2C2C2C"/>
          <w:sz w:val="22"/>
          <w:szCs w:val="22"/>
        </w:rPr>
        <w:t xml:space="preserve">The site already shows a keyboard shortcut hint (Ctrl+K) in the current UI but it does not appear to be wired up. This is a quick win — connect the shortcut to the existing input field.</w:t>
      </w:r>
    </w:p>
    <w:p>
      <w:pPr>
        <w:pStyle w:val="Heading2"/>
        <w:pBdr>
          <w:bottom w:val="single" w:color="1A3C5E" w:sz="4" w:space="4"/>
        </w:pBdr>
        <w:spacing w:after="100" w:before="280"/>
      </w:pPr>
      <w:r>
        <w:rPr>
          <w:rFonts w:ascii="Arial" w:cs="Arial" w:eastAsia="Arial" w:hAnsi="Arial"/>
          <w:b/>
          <w:bCs/>
          <w:color w:val="1A3C5E"/>
          <w:sz w:val="26"/>
          <w:szCs w:val="26"/>
        </w:rPr>
        <w:t xml:space="preserve">3.6 Reading Progress Indicator</w:t>
      </w:r>
    </w:p>
    <w:p>
      <w:pPr>
        <w:spacing w:after="100" w:before="60"/>
      </w:pPr>
      <w:r>
        <w:rPr>
          <w:rFonts w:ascii="Arial" w:cs="Arial" w:eastAsia="Arial" w:hAnsi="Arial"/>
          <w:b w:val="false"/>
          <w:bCs w:val="false"/>
          <w:color w:val="2C2C2C"/>
          <w:sz w:val="22"/>
          <w:szCs w:val="22"/>
        </w:rPr>
        <w:t xml:space="preserve">What it is: A thin progress bar at the top of the page that fills as the user scrolls down long bill detail pages.</w:t>
      </w:r>
    </w:p>
    <w:p>
      <w:pPr>
        <w:spacing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5100"/>
        <w:gridCol w:w="1300"/>
      </w:tblGrid>
      <w:tr>
        <w:trPr>
          <w:tblHeader/>
        </w:trPr>
        <w:tc>
          <w:tcPr>
            <w:tcW w:type="dxa" w:w="26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1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Implementation Approach</w:t>
            </w:r>
          </w:p>
        </w:tc>
        <w:tc>
          <w:tcPr>
            <w:tcW w:type="dxa" w:w="13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Reading Progress Bar</w:t>
            </w:r>
          </w:p>
        </w:tc>
        <w:tc>
          <w:tcPr>
            <w:tcW w:type="dxa" w:w="5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2C2C"/>
                <w:sz w:val="20"/>
                <w:szCs w:val="20"/>
              </w:rPr>
              <w:t xml:space="preserve">Fixed position div at top of viewport, height 3px, z-index above header. Width controlled by a scroll event listener: (scrollY / (documentHeight - viewportHeight)) * 100. Use CSS transition: width 0.1s linear for smooth animation. Colour matches the brand accent. Approximately 8 lines of JS.</w:t>
            </w:r>
          </w:p>
        </w:tc>
        <w:tc>
          <w:tcPr>
            <w:tcW w:type="dxa" w:w="13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bCs/>
                <w:color w:val="5D6D7E"/>
                <w:sz w:val="18"/>
                <w:szCs w:val="18"/>
              </w:rPr>
              <w:t xml:space="preserve">Low</w:t>
            </w:r>
          </w:p>
        </w:tc>
      </w:tr>
    </w:tbl>
    <w:p>
      <w:pPr>
        <w:spacing w:before="80"/>
      </w:pPr>
      <w:r>
        <w:t xml:space="preserve"/>
      </w:r>
    </w:p>
    <w:p>
      <w:pPr>
        <w:spacing w:after="100" w:before="60"/>
      </w:pPr>
      <w:r>
        <w:rPr>
          <w:rFonts w:ascii="Arial" w:cs="Arial" w:eastAsia="Arial" w:hAnsi="Arial"/>
          <w:b w:val="false"/>
          <w:bCs w:val="false"/>
          <w:color w:val="2C2C2C"/>
          <w:sz w:val="22"/>
          <w:szCs w:val="22"/>
        </w:rPr>
        <w:t xml:space="preserve">This is particularly useful on the Bill Story pages which contain full bill text and multiple document sections. It gives users a sense of progress without requiring them to scroll back to a progress indicator.</w:t>
      </w:r>
    </w:p>
    <w:p>
      <w:pPr>
        <w:pStyle w:val="Heading2"/>
        <w:pBdr>
          <w:bottom w:val="single" w:color="1A3C5E" w:sz="4" w:space="4"/>
        </w:pBdr>
        <w:spacing w:after="100" w:before="280"/>
      </w:pPr>
      <w:r>
        <w:rPr>
          <w:rFonts w:ascii="Arial" w:cs="Arial" w:eastAsia="Arial" w:hAnsi="Arial"/>
          <w:b/>
          <w:bCs/>
          <w:color w:val="1A3C5E"/>
          <w:sz w:val="26"/>
          <w:szCs w:val="26"/>
        </w:rPr>
        <w:t xml:space="preserve">3.7 County Participation Heat Map</w:t>
      </w:r>
    </w:p>
    <w:p>
      <w:pPr>
        <w:spacing w:after="100" w:before="60"/>
      </w:pPr>
      <w:r>
        <w:rPr>
          <w:rFonts w:ascii="Arial" w:cs="Arial" w:eastAsia="Arial" w:hAnsi="Arial"/>
          <w:b w:val="false"/>
          <w:bCs w:val="false"/>
          <w:color w:val="2C2C2C"/>
          <w:sz w:val="22"/>
          <w:szCs w:val="22"/>
        </w:rPr>
        <w:t xml:space="preserve">What it is: A visual representation of bill engagement by Kenyan county — replacing the current ‘County Telemetry’ placeholder.</w:t>
      </w:r>
    </w:p>
    <w:p>
      <w:pPr>
        <w:spacing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5100"/>
        <w:gridCol w:w="1300"/>
      </w:tblGrid>
      <w:tr>
        <w:trPr>
          <w:tblHeader/>
        </w:trPr>
        <w:tc>
          <w:tcPr>
            <w:tcW w:type="dxa" w:w="26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1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Implementation Approach</w:t>
            </w:r>
          </w:p>
        </w:tc>
        <w:tc>
          <w:tcPr>
            <w:tcW w:type="dxa" w:w="13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County Heat Map</w:t>
            </w:r>
          </w:p>
        </w:tc>
        <w:tc>
          <w:tcPr>
            <w:tcW w:type="dxa" w:w="5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2C2C"/>
                <w:sz w:val="20"/>
                <w:szCs w:val="20"/>
              </w:rPr>
              <w:t xml:space="preserve">Render a simplified SVG map of Kenya’s 47 counties. Each county is an SVG path. Fill colour intensity maps to engagement level (signatures + USSD sessions from that county). Use a single-hue ramp from light to dark. Hovering over a county shows a tooltip with the county name and engagement count. This is purely a frontend visualisation layer over data the platform already collects.</w:t>
            </w:r>
          </w:p>
        </w:tc>
        <w:tc>
          <w:tcPr>
            <w:tcW w:type="dxa" w:w="13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bCs/>
                <w:color w:val="E67E22"/>
                <w:sz w:val="18"/>
                <w:szCs w:val="18"/>
              </w:rPr>
              <w:t xml:space="preserve">Medium</w:t>
            </w:r>
          </w:p>
        </w:tc>
      </w:tr>
    </w:tbl>
    <w:p>
      <w:pPr>
        <w:spacing w:before="80"/>
      </w:pPr>
      <w:r>
        <w:t xml:space="preserve"/>
      </w:r>
    </w:p>
    <w:p>
      <w:pPr>
        <w:spacing w:after="100" w:before="60"/>
      </w:pPr>
      <w:r>
        <w:rPr>
          <w:rFonts w:ascii="Arial" w:cs="Arial" w:eastAsia="Arial" w:hAnsi="Arial"/>
          <w:b w:val="false"/>
          <w:bCs w:val="false"/>
          <w:color w:val="2C2C2C"/>
          <w:sz w:val="22"/>
          <w:szCs w:val="22"/>
        </w:rPr>
        <w:t xml:space="preserve">Implementation notes:</w:t>
      </w:r>
    </w:p>
    <w:p>
      <w:pPr>
        <w:pStyle w:val="ListParagraph"/>
        <w:numPr>
          <w:ilvl w:val="0"/>
          <w:numId w:val="2"/>
        </w:numPr>
        <w:spacing w:after="60" w:before="40"/>
      </w:pPr>
      <w:r>
        <w:rPr>
          <w:rFonts w:ascii="Arial" w:cs="Arial" w:eastAsia="Arial" w:hAnsi="Arial"/>
          <w:color w:val="2C2C2C"/>
          <w:sz w:val="22"/>
          <w:szCs w:val="22"/>
        </w:rPr>
        <w:t xml:space="preserve">Source the Kenya counties SVG from a public open-data repository (e.g. Kenya Open Data or GADM)</w:t>
      </w:r>
    </w:p>
    <w:p>
      <w:pPr>
        <w:pStyle w:val="ListParagraph"/>
        <w:numPr>
          <w:ilvl w:val="0"/>
          <w:numId w:val="2"/>
        </w:numPr>
        <w:spacing w:after="60" w:before="40"/>
      </w:pPr>
      <w:r>
        <w:rPr>
          <w:rFonts w:ascii="Arial" w:cs="Arial" w:eastAsia="Arial" w:hAnsi="Arial"/>
          <w:color w:val="2C2C2C"/>
          <w:sz w:val="22"/>
          <w:szCs w:val="22"/>
        </w:rPr>
        <w:t xml:space="preserve">Map county names in the data to SVG path IDs</w:t>
      </w:r>
    </w:p>
    <w:p>
      <w:pPr>
        <w:pStyle w:val="ListParagraph"/>
        <w:numPr>
          <w:ilvl w:val="0"/>
          <w:numId w:val="2"/>
        </w:numPr>
        <w:spacing w:after="60" w:before="40"/>
      </w:pPr>
      <w:r>
        <w:rPr>
          <w:rFonts w:ascii="Arial" w:cs="Arial" w:eastAsia="Arial" w:hAnsi="Arial"/>
          <w:color w:val="2C2C2C"/>
          <w:sz w:val="22"/>
          <w:szCs w:val="22"/>
        </w:rPr>
        <w:t xml:space="preserve">Compute a fill opacity from 0.1 to 1.0 based on normalised engagement score</w:t>
      </w:r>
    </w:p>
    <w:p>
      <w:pPr>
        <w:pStyle w:val="ListParagraph"/>
        <w:numPr>
          <w:ilvl w:val="0"/>
          <w:numId w:val="2"/>
        </w:numPr>
        <w:spacing w:after="60" w:before="40"/>
      </w:pPr>
      <w:r>
        <w:rPr>
          <w:rFonts w:ascii="Arial" w:cs="Arial" w:eastAsia="Arial" w:hAnsi="Arial"/>
          <w:color w:val="2C2C2C"/>
          <w:sz w:val="22"/>
          <w:szCs w:val="22"/>
        </w:rPr>
        <w:t xml:space="preserve">Tooltip: pure CSS positioned element revealed on :hover or mouseover event</w:t>
      </w:r>
    </w:p>
    <w:p>
      <w:pPr>
        <w:pStyle w:val="ListParagraph"/>
        <w:numPr>
          <w:ilvl w:val="0"/>
          <w:numId w:val="2"/>
        </w:numPr>
        <w:spacing w:after="60" w:before="40"/>
      </w:pPr>
      <w:r>
        <w:rPr>
          <w:rFonts w:ascii="Arial" w:cs="Arial" w:eastAsia="Arial" w:hAnsi="Arial"/>
          <w:color w:val="2C2C2C"/>
          <w:sz w:val="22"/>
          <w:szCs w:val="22"/>
        </w:rPr>
        <w:t xml:space="preserve">Fallback: if engagement data is zero across all counties, show a ‘No county data yet’ empty state rather than an all-blank map</w:t>
      </w:r>
    </w:p>
    <w:p>
      <w:pPr>
        <w:pStyle w:val="Heading2"/>
        <w:pBdr>
          <w:bottom w:val="single" w:color="1A3C5E" w:sz="4" w:space="4"/>
        </w:pBdr>
        <w:spacing w:after="100" w:before="280"/>
      </w:pPr>
      <w:r>
        <w:rPr>
          <w:rFonts w:ascii="Arial" w:cs="Arial" w:eastAsia="Arial" w:hAnsi="Arial"/>
          <w:b/>
          <w:bCs/>
          <w:color w:val="1A3C5E"/>
          <w:sz w:val="26"/>
          <w:szCs w:val="26"/>
        </w:rPr>
        <w:t xml:space="preserve">3.8 Skeleton Loading States</w:t>
      </w:r>
    </w:p>
    <w:p>
      <w:pPr>
        <w:spacing w:after="100" w:before="60"/>
      </w:pPr>
      <w:r>
        <w:rPr>
          <w:rFonts w:ascii="Arial" w:cs="Arial" w:eastAsia="Arial" w:hAnsi="Arial"/>
          <w:b w:val="false"/>
          <w:bCs w:val="false"/>
          <w:color w:val="2C2C2C"/>
          <w:sz w:val="22"/>
          <w:szCs w:val="22"/>
        </w:rPr>
        <w:t xml:space="preserve">What it is: Placeholder shimmer cards shown during data fetch, replacing the current spinner.</w:t>
      </w:r>
    </w:p>
    <w:p>
      <w:pPr>
        <w:spacing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5100"/>
        <w:gridCol w:w="1300"/>
      </w:tblGrid>
      <w:tr>
        <w:trPr>
          <w:tblHeader/>
        </w:trPr>
        <w:tc>
          <w:tcPr>
            <w:tcW w:type="dxa" w:w="26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1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Implementation Approach</w:t>
            </w:r>
          </w:p>
        </w:tc>
        <w:tc>
          <w:tcPr>
            <w:tcW w:type="dxa" w:w="13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Skeleton Screens</w:t>
            </w:r>
          </w:p>
        </w:tc>
        <w:tc>
          <w:tcPr>
            <w:tcW w:type="dxa" w:w="5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2C2C"/>
                <w:sz w:val="20"/>
                <w:szCs w:val="20"/>
              </w:rPr>
              <w:t xml:space="preserve">Replace the spinner on the bills library with 5 skeleton bill cards. Each skeleton card mirrors the exact layout of a real bill card (title bar, two tag bars, footer bar) rendered as grey rectangles with a CSS shimmer animation (@keyframes shimmer using background-position translation on a linear gradient). Swap skeletons for real cards when data resolves.</w:t>
            </w:r>
          </w:p>
        </w:tc>
        <w:tc>
          <w:tcPr>
            <w:tcW w:type="dxa" w:w="13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bCs/>
                <w:color w:val="C0392B"/>
                <w:sz w:val="18"/>
                <w:szCs w:val="18"/>
              </w:rPr>
              <w:t xml:space="preserve">High</w:t>
            </w:r>
          </w:p>
        </w:tc>
      </w:tr>
    </w:tbl>
    <w:p>
      <w:pPr>
        <w:spacing w:before="80"/>
      </w:pPr>
      <w:r>
        <w:t xml:space="preserve"/>
      </w:r>
    </w:p>
    <w:p>
      <w:pPr>
        <w:spacing w:after="100" w:before="60"/>
      </w:pPr>
      <w:r>
        <w:rPr>
          <w:rFonts w:ascii="Arial" w:cs="Arial" w:eastAsia="Arial" w:hAnsi="Arial"/>
          <w:b w:val="false"/>
          <w:bCs w:val="false"/>
          <w:color w:val="2C2C2C"/>
          <w:sz w:val="22"/>
          <w:szCs w:val="22"/>
        </w:rPr>
        <w:t xml:space="preserve">CSS shimmer implementation:</w:t>
      </w:r>
    </w:p>
    <w:p>
      <w:pPr>
        <w:pStyle w:val="ListParagraph"/>
        <w:numPr>
          <w:ilvl w:val="0"/>
          <w:numId w:val="2"/>
        </w:numPr>
        <w:spacing w:after="60" w:before="40"/>
      </w:pPr>
      <w:r>
        <w:rPr>
          <w:rFonts w:ascii="Arial" w:cs="Arial" w:eastAsia="Arial" w:hAnsi="Arial"/>
          <w:color w:val="2C2C2C"/>
          <w:sz w:val="22"/>
          <w:szCs w:val="22"/>
        </w:rPr>
        <w:t xml:space="preserve">Create a .skeleton-line class with a grey background and overflow: hidden</w:t>
      </w:r>
    </w:p>
    <w:p>
      <w:pPr>
        <w:pStyle w:val="ListParagraph"/>
        <w:numPr>
          <w:ilvl w:val="0"/>
          <w:numId w:val="2"/>
        </w:numPr>
        <w:spacing w:after="60" w:before="40"/>
      </w:pPr>
      <w:r>
        <w:rPr>
          <w:rFonts w:ascii="Arial" w:cs="Arial" w:eastAsia="Arial" w:hAnsi="Arial"/>
          <w:color w:val="2C2C2C"/>
          <w:sz w:val="22"/>
          <w:szCs w:val="22"/>
        </w:rPr>
        <w:t xml:space="preserve">Use a pseudo-element with a moving gradient: background: linear-gradient(90deg, transparent 0%, rgba(255,255,255,0.4) 50%, transparent 100%)</w:t>
      </w:r>
    </w:p>
    <w:p>
      <w:pPr>
        <w:pStyle w:val="ListParagraph"/>
        <w:numPr>
          <w:ilvl w:val="0"/>
          <w:numId w:val="2"/>
        </w:numPr>
        <w:spacing w:after="60" w:before="40"/>
      </w:pPr>
      <w:r>
        <w:rPr>
          <w:rFonts w:ascii="Arial" w:cs="Arial" w:eastAsia="Arial" w:hAnsi="Arial"/>
          <w:color w:val="2C2C2C"/>
          <w:sz w:val="22"/>
          <w:szCs w:val="22"/>
        </w:rPr>
        <w:t xml:space="preserve">Animate: background-position from -200px to 200px over 1.2s infinite</w:t>
      </w:r>
    </w:p>
    <w:p>
      <w:pPr>
        <w:pStyle w:val="ListParagraph"/>
        <w:numPr>
          <w:ilvl w:val="0"/>
          <w:numId w:val="2"/>
        </w:numPr>
        <w:spacing w:after="60" w:before="40"/>
      </w:pPr>
      <w:r>
        <w:rPr>
          <w:rFonts w:ascii="Arial" w:cs="Arial" w:eastAsia="Arial" w:hAnsi="Arial"/>
          <w:color w:val="2C2C2C"/>
          <w:sz w:val="22"/>
          <w:szCs w:val="22"/>
        </w:rPr>
        <w:t xml:space="preserve">No JavaScript required for the animation itself — only for the swap from skeleton to real content</w:t>
      </w:r>
    </w:p>
    <w:p>
      <w:pPr>
        <w:pStyle w:val="Heading1"/>
        <w:spacing w:after="120" w:before="360"/>
      </w:pPr>
      <w:r>
        <w:rPr>
          <w:rFonts w:ascii="Arial" w:cs="Arial" w:eastAsia="Arial" w:hAnsi="Arial"/>
          <w:b/>
          <w:bCs/>
          <w:color w:val="1A1A2E"/>
          <w:sz w:val="32"/>
          <w:szCs w:val="32"/>
        </w:rPr>
        <w:t xml:space="preserve">4. Summary Reference Table</w:t>
      </w:r>
    </w:p>
    <w:p>
      <w:pPr>
        <w:spacing w:after="100" w:before="60"/>
      </w:pPr>
      <w:r>
        <w:rPr>
          <w:rFonts w:ascii="Arial" w:cs="Arial" w:eastAsia="Arial" w:hAnsi="Arial"/>
          <w:b w:val="false"/>
          <w:bCs w:val="false"/>
          <w:color w:val="2C2C2C"/>
          <w:sz w:val="22"/>
          <w:szCs w:val="22"/>
        </w:rPr>
        <w:t xml:space="preserve">The table below consolidates all issues identified and their corresponding frontend fixes.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1400"/>
        <w:gridCol w:w="2200"/>
      </w:tblGrid>
      <w:tr>
        <w:trPr>
          <w:tblHeader/>
        </w:trPr>
        <w:tc>
          <w:tcPr>
            <w:tcW w:type="dxa" w:w="22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Area</w:t>
            </w:r>
          </w:p>
        </w:tc>
        <w:tc>
          <w:tcPr>
            <w:tcW w:type="dxa" w:w="356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Core Issue</w:t>
            </w:r>
          </w:p>
        </w:tc>
        <w:tc>
          <w:tcPr>
            <w:tcW w:type="dxa" w:w="14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Severity</w:t>
            </w:r>
          </w:p>
        </w:tc>
        <w:tc>
          <w:tcPr>
            <w:tcW w:type="dxa" w:w="22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Fix</w:t>
            </w:r>
          </w:p>
        </w:tc>
      </w:tr>
      <w:tr>
        <w:tc>
          <w:tcPr>
            <w:tcW w:type="dxa" w:w="2200"/>
            <w:tcBorders>
              <w:top w:val="single" w:color="BDC3C7" w:sz="1"/>
              <w:left w:val="single" w:color="BDC3C7" w:sz="1"/>
              <w:bottom w:val="single" w:color="BDC3C7" w:sz="1"/>
              <w:right w:val="single" w:color="BDC3C7" w:sz="1"/>
            </w:tcBorders>
            <w:shd w:fill="F2F3F4" w:val="clear"/>
            <w:tcMar>
              <w:top w:type="dxa" w:w="70"/>
              <w:left w:type="dxa" w:w="120"/>
              <w:bottom w:type="dxa" w:w="70"/>
              <w:right w:type="dxa" w:w="120"/>
            </w:tcMar>
          </w:tcPr>
          <w:p>
            <w:r>
              <w:rPr>
                <w:rFonts w:ascii="Arial" w:cs="Arial" w:eastAsia="Arial" w:hAnsi="Arial"/>
                <w:b/>
                <w:bCs/>
                <w:color w:val="1A1A2E"/>
                <w:sz w:val="19"/>
                <w:szCs w:val="19"/>
              </w:rPr>
              <w:t xml:space="preserve">Navigation</w:t>
            </w:r>
          </w:p>
        </w:tc>
        <w:tc>
          <w:tcPr>
            <w:tcW w:type="dxa" w:w="3560"/>
            <w:tcBorders>
              <w:top w:val="single" w:color="BDC3C7" w:sz="1"/>
              <w:left w:val="single" w:color="BDC3C7" w:sz="1"/>
              <w:bottom w:val="single" w:color="BDC3C7" w:sz="1"/>
              <w:right w:val="single" w:color="BDC3C7" w:sz="1"/>
            </w:tcBorders>
            <w:shd w:fill="F2F3F4" w:val="clear"/>
            <w:tcMar>
              <w:top w:type="dxa" w:w="70"/>
              <w:left w:type="dxa" w:w="120"/>
              <w:bottom w:type="dxa" w:w="70"/>
              <w:right w:type="dxa" w:w="120"/>
            </w:tcMar>
          </w:tcPr>
          <w:p>
            <w:r>
              <w:rPr>
                <w:rFonts w:ascii="Arial" w:cs="Arial" w:eastAsia="Arial" w:hAnsi="Arial"/>
                <w:color w:val="2C2C2C"/>
                <w:sz w:val="19"/>
                <w:szCs w:val="19"/>
              </w:rPr>
              <w:t xml:space="preserve">Admin link visible publicly</w:t>
            </w:r>
          </w:p>
        </w:tc>
        <w:tc>
          <w:tcPr>
            <w:tcW w:type="dxa" w:w="1400"/>
            <w:tcBorders>
              <w:top w:val="single" w:color="BDC3C7" w:sz="1"/>
              <w:left w:val="single" w:color="BDC3C7" w:sz="1"/>
              <w:bottom w:val="single" w:color="BDC3C7" w:sz="1"/>
              <w:right w:val="single" w:color="BDC3C7" w:sz="1"/>
            </w:tcBorders>
            <w:shd w:fill="F2F3F4" w:val="clear"/>
            <w:tcMar>
              <w:top w:type="dxa" w:w="70"/>
              <w:left w:type="dxa" w:w="120"/>
              <w:bottom w:type="dxa" w:w="70"/>
              <w:right w:type="dxa" w:w="120"/>
            </w:tcMar>
          </w:tcPr>
          <w:p>
            <w:pPr>
              <w:jc w:val="center"/>
            </w:pPr>
            <w:r>
              <w:rPr>
                <w:rFonts w:ascii="Arial" w:cs="Arial" w:eastAsia="Arial" w:hAnsi="Arial"/>
                <w:b/>
                <w:bCs/>
                <w:color w:val="C0392B"/>
                <w:sz w:val="18"/>
                <w:szCs w:val="18"/>
              </w:rPr>
              <w:t xml:space="preserve">Critical</w:t>
            </w:r>
          </w:p>
        </w:tc>
        <w:tc>
          <w:tcPr>
            <w:tcW w:type="dxa" w:w="2200"/>
            <w:tcBorders>
              <w:top w:val="single" w:color="BDC3C7" w:sz="1"/>
              <w:left w:val="single" w:color="BDC3C7" w:sz="1"/>
              <w:bottom w:val="single" w:color="BDC3C7" w:sz="1"/>
              <w:right w:val="single" w:color="BDC3C7" w:sz="1"/>
            </w:tcBorders>
            <w:shd w:fill="F2F3F4" w:val="clear"/>
            <w:tcMar>
              <w:top w:type="dxa" w:w="70"/>
              <w:left w:type="dxa" w:w="120"/>
              <w:bottom w:type="dxa" w:w="70"/>
              <w:right w:type="dxa" w:w="120"/>
            </w:tcMar>
          </w:tcPr>
          <w:p>
            <w:r>
              <w:rPr>
                <w:rFonts w:ascii="Arial" w:cs="Arial" w:eastAsia="Arial" w:hAnsi="Arial"/>
                <w:color w:val="1E6B3A"/>
                <w:sz w:val="19"/>
                <w:szCs w:val="19"/>
              </w:rPr>
              <w:t xml:space="preserve">Remove from public nav</w:t>
            </w:r>
          </w:p>
        </w:tc>
      </w:tr>
      <w:tr>
        <w:tc>
          <w:tcPr>
            <w:tcW w:type="dxa" w:w="2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r>
              <w:rPr>
                <w:rFonts w:ascii="Arial" w:cs="Arial" w:eastAsia="Arial" w:hAnsi="Arial"/>
                <w:b/>
                <w:bCs/>
                <w:color w:val="1A1A2E"/>
                <w:sz w:val="19"/>
                <w:szCs w:val="19"/>
              </w:rPr>
              <w:t xml:space="preserve">Hero CTA</w:t>
            </w:r>
          </w:p>
        </w:tc>
        <w:tc>
          <w:tcPr>
            <w:tcW w:type="dxa" w:w="356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Equal-weight dual CTAs</w:t>
            </w:r>
          </w:p>
        </w:tc>
        <w:tc>
          <w:tcPr>
            <w:tcW w:type="dxa" w:w="14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jc w:val="center"/>
            </w:pPr>
            <w:r>
              <w:rPr>
                <w:rFonts w:ascii="Arial" w:cs="Arial" w:eastAsia="Arial" w:hAnsi="Arial"/>
                <w:b/>
                <w:bCs/>
                <w:color w:val="E67E22"/>
                <w:sz w:val="18"/>
                <w:szCs w:val="18"/>
              </w:rPr>
              <w:t xml:space="preserve">High</w:t>
            </w:r>
          </w:p>
        </w:tc>
        <w:tc>
          <w:tcPr>
            <w:tcW w:type="dxa" w:w="2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r>
              <w:rPr>
                <w:rFonts w:ascii="Arial" w:cs="Arial" w:eastAsia="Arial" w:hAnsi="Arial"/>
                <w:color w:val="1E6B3A"/>
                <w:sz w:val="19"/>
                <w:szCs w:val="19"/>
              </w:rPr>
              <w:t xml:space="preserve">Primary + ghost button pattern</w:t>
            </w:r>
          </w:p>
        </w:tc>
      </w:tr>
      <w:tr>
        <w:tc>
          <w:tcPr>
            <w:tcW w:type="dxa" w:w="2200"/>
            <w:tcBorders>
              <w:top w:val="single" w:color="BDC3C7" w:sz="1"/>
              <w:left w:val="single" w:color="BDC3C7" w:sz="1"/>
              <w:bottom w:val="single" w:color="BDC3C7" w:sz="1"/>
              <w:right w:val="single" w:color="BDC3C7" w:sz="1"/>
            </w:tcBorders>
            <w:shd w:fill="F2F3F4" w:val="clear"/>
            <w:tcMar>
              <w:top w:type="dxa" w:w="70"/>
              <w:left w:type="dxa" w:w="120"/>
              <w:bottom w:type="dxa" w:w="70"/>
              <w:right w:type="dxa" w:w="120"/>
            </w:tcMar>
          </w:tcPr>
          <w:p>
            <w:r>
              <w:rPr>
                <w:rFonts w:ascii="Arial" w:cs="Arial" w:eastAsia="Arial" w:hAnsi="Arial"/>
                <w:b/>
                <w:bCs/>
                <w:color w:val="1A1A2E"/>
                <w:sz w:val="19"/>
                <w:szCs w:val="19"/>
              </w:rPr>
              <w:t xml:space="preserve">Reading width</w:t>
            </w:r>
          </w:p>
        </w:tc>
        <w:tc>
          <w:tcPr>
            <w:tcW w:type="dxa" w:w="3560"/>
            <w:tcBorders>
              <w:top w:val="single" w:color="BDC3C7" w:sz="1"/>
              <w:left w:val="single" w:color="BDC3C7" w:sz="1"/>
              <w:bottom w:val="single" w:color="BDC3C7" w:sz="1"/>
              <w:right w:val="single" w:color="BDC3C7" w:sz="1"/>
            </w:tcBorders>
            <w:shd w:fill="F2F3F4" w:val="clear"/>
            <w:tcMar>
              <w:top w:type="dxa" w:w="70"/>
              <w:left w:type="dxa" w:w="120"/>
              <w:bottom w:type="dxa" w:w="70"/>
              <w:right w:type="dxa" w:w="120"/>
            </w:tcMar>
          </w:tcPr>
          <w:p>
            <w:r>
              <w:rPr>
                <w:rFonts w:ascii="Arial" w:cs="Arial" w:eastAsia="Arial" w:hAnsi="Arial"/>
                <w:color w:val="2C2C2C"/>
                <w:sz w:val="19"/>
                <w:szCs w:val="19"/>
              </w:rPr>
              <w:t xml:space="preserve">Full-width text, 150+ char lines</w:t>
            </w:r>
          </w:p>
        </w:tc>
        <w:tc>
          <w:tcPr>
            <w:tcW w:type="dxa" w:w="1400"/>
            <w:tcBorders>
              <w:top w:val="single" w:color="BDC3C7" w:sz="1"/>
              <w:left w:val="single" w:color="BDC3C7" w:sz="1"/>
              <w:bottom w:val="single" w:color="BDC3C7" w:sz="1"/>
              <w:right w:val="single" w:color="BDC3C7" w:sz="1"/>
            </w:tcBorders>
            <w:shd w:fill="F2F3F4" w:val="clear"/>
            <w:tcMar>
              <w:top w:type="dxa" w:w="70"/>
              <w:left w:type="dxa" w:w="120"/>
              <w:bottom w:type="dxa" w:w="70"/>
              <w:right w:type="dxa" w:w="120"/>
            </w:tcMar>
          </w:tcPr>
          <w:p>
            <w:pPr>
              <w:jc w:val="center"/>
            </w:pPr>
            <w:r>
              <w:rPr>
                <w:rFonts w:ascii="Arial" w:cs="Arial" w:eastAsia="Arial" w:hAnsi="Arial"/>
                <w:b/>
                <w:bCs/>
                <w:color w:val="E67E22"/>
                <w:sz w:val="18"/>
                <w:szCs w:val="18"/>
              </w:rPr>
              <w:t xml:space="preserve">High</w:t>
            </w:r>
          </w:p>
        </w:tc>
        <w:tc>
          <w:tcPr>
            <w:tcW w:type="dxa" w:w="2200"/>
            <w:tcBorders>
              <w:top w:val="single" w:color="BDC3C7" w:sz="1"/>
              <w:left w:val="single" w:color="BDC3C7" w:sz="1"/>
              <w:bottom w:val="single" w:color="BDC3C7" w:sz="1"/>
              <w:right w:val="single" w:color="BDC3C7" w:sz="1"/>
            </w:tcBorders>
            <w:shd w:fill="F2F3F4" w:val="clear"/>
            <w:tcMar>
              <w:top w:type="dxa" w:w="70"/>
              <w:left w:type="dxa" w:w="120"/>
              <w:bottom w:type="dxa" w:w="70"/>
              <w:right w:type="dxa" w:w="120"/>
            </w:tcMar>
          </w:tcPr>
          <w:p>
            <w:r>
              <w:rPr>
                <w:rFonts w:ascii="Arial" w:cs="Arial" w:eastAsia="Arial" w:hAnsi="Arial"/>
                <w:color w:val="1E6B3A"/>
                <w:sz w:val="19"/>
                <w:szCs w:val="19"/>
              </w:rPr>
              <w:t xml:space="preserve">max-width: 680px on content</w:t>
            </w:r>
          </w:p>
        </w:tc>
      </w:tr>
      <w:tr>
        <w:tc>
          <w:tcPr>
            <w:tcW w:type="dxa" w:w="2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r>
              <w:rPr>
                <w:rFonts w:ascii="Arial" w:cs="Arial" w:eastAsia="Arial" w:hAnsi="Arial"/>
                <w:b/>
                <w:bCs/>
                <w:color w:val="1A1A2E"/>
                <w:sz w:val="19"/>
                <w:szCs w:val="19"/>
              </w:rPr>
              <w:t xml:space="preserve">Bills filter</w:t>
            </w:r>
          </w:p>
        </w:tc>
        <w:tc>
          <w:tcPr>
            <w:tcW w:type="dxa" w:w="356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Category dropdown hides options</w:t>
            </w:r>
          </w:p>
        </w:tc>
        <w:tc>
          <w:tcPr>
            <w:tcW w:type="dxa" w:w="14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jc w:val="center"/>
            </w:pPr>
            <w:r>
              <w:rPr>
                <w:rFonts w:ascii="Arial" w:cs="Arial" w:eastAsia="Arial" w:hAnsi="Arial"/>
                <w:b/>
                <w:bCs/>
                <w:color w:val="E67E22"/>
                <w:sz w:val="18"/>
                <w:szCs w:val="18"/>
              </w:rPr>
              <w:t xml:space="preserve">High</w:t>
            </w:r>
          </w:p>
        </w:tc>
        <w:tc>
          <w:tcPr>
            <w:tcW w:type="dxa" w:w="2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r>
              <w:rPr>
                <w:rFonts w:ascii="Arial" w:cs="Arial" w:eastAsia="Arial" w:hAnsi="Arial"/>
                <w:color w:val="1E6B3A"/>
                <w:sz w:val="19"/>
                <w:szCs w:val="19"/>
              </w:rPr>
              <w:t xml:space="preserve">Horizontal filter chips</w:t>
            </w:r>
          </w:p>
        </w:tc>
      </w:tr>
      <w:tr>
        <w:tc>
          <w:tcPr>
            <w:tcW w:type="dxa" w:w="2200"/>
            <w:tcBorders>
              <w:top w:val="single" w:color="BDC3C7" w:sz="1"/>
              <w:left w:val="single" w:color="BDC3C7" w:sz="1"/>
              <w:bottom w:val="single" w:color="BDC3C7" w:sz="1"/>
              <w:right w:val="single" w:color="BDC3C7" w:sz="1"/>
            </w:tcBorders>
            <w:shd w:fill="F2F3F4" w:val="clear"/>
            <w:tcMar>
              <w:top w:type="dxa" w:w="70"/>
              <w:left w:type="dxa" w:w="120"/>
              <w:bottom w:type="dxa" w:w="70"/>
              <w:right w:type="dxa" w:w="120"/>
            </w:tcMar>
          </w:tcPr>
          <w:p>
            <w:r>
              <w:rPr>
                <w:rFonts w:ascii="Arial" w:cs="Arial" w:eastAsia="Arial" w:hAnsi="Arial"/>
                <w:b/>
                <w:bCs/>
                <w:color w:val="1A1A2E"/>
                <w:sz w:val="19"/>
                <w:szCs w:val="19"/>
              </w:rPr>
              <w:t xml:space="preserve">Bill cards</w:t>
            </w:r>
          </w:p>
        </w:tc>
        <w:tc>
          <w:tcPr>
            <w:tcW w:type="dxa" w:w="3560"/>
            <w:tcBorders>
              <w:top w:val="single" w:color="BDC3C7" w:sz="1"/>
              <w:left w:val="single" w:color="BDC3C7" w:sz="1"/>
              <w:bottom w:val="single" w:color="BDC3C7" w:sz="1"/>
              <w:right w:val="single" w:color="BDC3C7" w:sz="1"/>
            </w:tcBorders>
            <w:shd w:fill="F2F3F4" w:val="clear"/>
            <w:tcMar>
              <w:top w:type="dxa" w:w="70"/>
              <w:left w:type="dxa" w:w="120"/>
              <w:bottom w:type="dxa" w:w="70"/>
              <w:right w:type="dxa" w:w="120"/>
            </w:tcMar>
          </w:tcPr>
          <w:p>
            <w:r>
              <w:rPr>
                <w:rFonts w:ascii="Arial" w:cs="Arial" w:eastAsia="Arial" w:hAnsi="Arial"/>
                <w:color w:val="2C2C2C"/>
                <w:sz w:val="19"/>
                <w:szCs w:val="19"/>
              </w:rPr>
              <w:t xml:space="preserve">Insufficient information scent</w:t>
            </w:r>
          </w:p>
        </w:tc>
        <w:tc>
          <w:tcPr>
            <w:tcW w:type="dxa" w:w="1400"/>
            <w:tcBorders>
              <w:top w:val="single" w:color="BDC3C7" w:sz="1"/>
              <w:left w:val="single" w:color="BDC3C7" w:sz="1"/>
              <w:bottom w:val="single" w:color="BDC3C7" w:sz="1"/>
              <w:right w:val="single" w:color="BDC3C7" w:sz="1"/>
            </w:tcBorders>
            <w:shd w:fill="F2F3F4" w:val="clear"/>
            <w:tcMar>
              <w:top w:type="dxa" w:w="70"/>
              <w:left w:type="dxa" w:w="120"/>
              <w:bottom w:type="dxa" w:w="70"/>
              <w:right w:type="dxa" w:w="120"/>
            </w:tcMar>
          </w:tcPr>
          <w:p>
            <w:pPr>
              <w:jc w:val="center"/>
            </w:pPr>
            <w:r>
              <w:rPr>
                <w:rFonts w:ascii="Arial" w:cs="Arial" w:eastAsia="Arial" w:hAnsi="Arial"/>
                <w:b/>
                <w:bCs/>
                <w:color w:val="E67E22"/>
                <w:sz w:val="18"/>
                <w:szCs w:val="18"/>
              </w:rPr>
              <w:t xml:space="preserve">High</w:t>
            </w:r>
          </w:p>
        </w:tc>
        <w:tc>
          <w:tcPr>
            <w:tcW w:type="dxa" w:w="2200"/>
            <w:tcBorders>
              <w:top w:val="single" w:color="BDC3C7" w:sz="1"/>
              <w:left w:val="single" w:color="BDC3C7" w:sz="1"/>
              <w:bottom w:val="single" w:color="BDC3C7" w:sz="1"/>
              <w:right w:val="single" w:color="BDC3C7" w:sz="1"/>
            </w:tcBorders>
            <w:shd w:fill="F2F3F4" w:val="clear"/>
            <w:tcMar>
              <w:top w:type="dxa" w:w="70"/>
              <w:left w:type="dxa" w:w="120"/>
              <w:bottom w:type="dxa" w:w="70"/>
              <w:right w:type="dxa" w:w="120"/>
            </w:tcMar>
          </w:tcPr>
          <w:p>
            <w:r>
              <w:rPr>
                <w:rFonts w:ascii="Arial" w:cs="Arial" w:eastAsia="Arial" w:hAnsi="Arial"/>
                <w:color w:val="1E6B3A"/>
                <w:sz w:val="19"/>
                <w:szCs w:val="19"/>
              </w:rPr>
              <w:t xml:space="preserve">Add stage, sponsor, engagement</w:t>
            </w:r>
          </w:p>
        </w:tc>
      </w:tr>
      <w:tr>
        <w:tc>
          <w:tcPr>
            <w:tcW w:type="dxa" w:w="2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r>
              <w:rPr>
                <w:rFonts w:ascii="Arial" w:cs="Arial" w:eastAsia="Arial" w:hAnsi="Arial"/>
                <w:b/>
                <w:bCs/>
                <w:color w:val="1A1A2E"/>
                <w:sz w:val="19"/>
                <w:szCs w:val="19"/>
              </w:rPr>
              <w:t xml:space="preserve">Pagination</w:t>
            </w:r>
          </w:p>
        </w:tc>
        <w:tc>
          <w:tcPr>
            <w:tcW w:type="dxa" w:w="356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No count or page feedback</w:t>
            </w:r>
          </w:p>
        </w:tc>
        <w:tc>
          <w:tcPr>
            <w:tcW w:type="dxa" w:w="14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jc w:val="center"/>
            </w:pPr>
            <w:r>
              <w:rPr>
                <w:rFonts w:ascii="Arial" w:cs="Arial" w:eastAsia="Arial" w:hAnsi="Arial"/>
                <w:b/>
                <w:bCs/>
                <w:color w:val="E67E22"/>
                <w:sz w:val="18"/>
                <w:szCs w:val="18"/>
              </w:rPr>
              <w:t xml:space="preserve">High</w:t>
            </w:r>
          </w:p>
        </w:tc>
        <w:tc>
          <w:tcPr>
            <w:tcW w:type="dxa" w:w="2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r>
              <w:rPr>
                <w:rFonts w:ascii="Arial" w:cs="Arial" w:eastAsia="Arial" w:hAnsi="Arial"/>
                <w:color w:val="1E6B3A"/>
                <w:sz w:val="19"/>
                <w:szCs w:val="19"/>
              </w:rPr>
              <w:t xml:space="preserve">"Showing 1–20 of 273" + page numbers</w:t>
            </w:r>
          </w:p>
        </w:tc>
      </w:tr>
      <w:tr>
        <w:tc>
          <w:tcPr>
            <w:tcW w:type="dxa" w:w="2200"/>
            <w:tcBorders>
              <w:top w:val="single" w:color="BDC3C7" w:sz="1"/>
              <w:left w:val="single" w:color="BDC3C7" w:sz="1"/>
              <w:bottom w:val="single" w:color="BDC3C7" w:sz="1"/>
              <w:right w:val="single" w:color="BDC3C7" w:sz="1"/>
            </w:tcBorders>
            <w:shd w:fill="F2F3F4" w:val="clear"/>
            <w:tcMar>
              <w:top w:type="dxa" w:w="70"/>
              <w:left w:type="dxa" w:w="120"/>
              <w:bottom w:type="dxa" w:w="70"/>
              <w:right w:type="dxa" w:w="120"/>
            </w:tcMar>
          </w:tcPr>
          <w:p>
            <w:r>
              <w:rPr>
                <w:rFonts w:ascii="Arial" w:cs="Arial" w:eastAsia="Arial" w:hAnsi="Arial"/>
                <w:b/>
                <w:bCs/>
                <w:color w:val="1A1A2E"/>
                <w:sz w:val="19"/>
                <w:szCs w:val="19"/>
              </w:rPr>
              <w:t xml:space="preserve">Loading states</w:t>
            </w:r>
          </w:p>
        </w:tc>
        <w:tc>
          <w:tcPr>
            <w:tcW w:type="dxa" w:w="3560"/>
            <w:tcBorders>
              <w:top w:val="single" w:color="BDC3C7" w:sz="1"/>
              <w:left w:val="single" w:color="BDC3C7" w:sz="1"/>
              <w:bottom w:val="single" w:color="BDC3C7" w:sz="1"/>
              <w:right w:val="single" w:color="BDC3C7" w:sz="1"/>
            </w:tcBorders>
            <w:shd w:fill="F2F3F4" w:val="clear"/>
            <w:tcMar>
              <w:top w:type="dxa" w:w="70"/>
              <w:left w:type="dxa" w:w="120"/>
              <w:bottom w:type="dxa" w:w="70"/>
              <w:right w:type="dxa" w:w="120"/>
            </w:tcMar>
          </w:tcPr>
          <w:p>
            <w:r>
              <w:rPr>
                <w:rFonts w:ascii="Arial" w:cs="Arial" w:eastAsia="Arial" w:hAnsi="Arial"/>
                <w:color w:val="2C2C2C"/>
                <w:sz w:val="19"/>
                <w:szCs w:val="19"/>
              </w:rPr>
              <w:t xml:space="preserve">Spinner with no skeleton</w:t>
            </w:r>
          </w:p>
        </w:tc>
        <w:tc>
          <w:tcPr>
            <w:tcW w:type="dxa" w:w="1400"/>
            <w:tcBorders>
              <w:top w:val="single" w:color="BDC3C7" w:sz="1"/>
              <w:left w:val="single" w:color="BDC3C7" w:sz="1"/>
              <w:bottom w:val="single" w:color="BDC3C7" w:sz="1"/>
              <w:right w:val="single" w:color="BDC3C7" w:sz="1"/>
            </w:tcBorders>
            <w:shd w:fill="F2F3F4" w:val="clear"/>
            <w:tcMar>
              <w:top w:type="dxa" w:w="70"/>
              <w:left w:type="dxa" w:w="120"/>
              <w:bottom w:type="dxa" w:w="70"/>
              <w:right w:type="dxa" w:w="120"/>
            </w:tcMar>
          </w:tcPr>
          <w:p>
            <w:pPr>
              <w:jc w:val="center"/>
            </w:pPr>
            <w:r>
              <w:rPr>
                <w:rFonts w:ascii="Arial" w:cs="Arial" w:eastAsia="Arial" w:hAnsi="Arial"/>
                <w:b/>
                <w:bCs/>
                <w:color w:val="E67E22"/>
                <w:sz w:val="18"/>
                <w:szCs w:val="18"/>
              </w:rPr>
              <w:t xml:space="preserve">High</w:t>
            </w:r>
          </w:p>
        </w:tc>
        <w:tc>
          <w:tcPr>
            <w:tcW w:type="dxa" w:w="2200"/>
            <w:tcBorders>
              <w:top w:val="single" w:color="BDC3C7" w:sz="1"/>
              <w:left w:val="single" w:color="BDC3C7" w:sz="1"/>
              <w:bottom w:val="single" w:color="BDC3C7" w:sz="1"/>
              <w:right w:val="single" w:color="BDC3C7" w:sz="1"/>
            </w:tcBorders>
            <w:shd w:fill="F2F3F4" w:val="clear"/>
            <w:tcMar>
              <w:top w:type="dxa" w:w="70"/>
              <w:left w:type="dxa" w:w="120"/>
              <w:bottom w:type="dxa" w:w="70"/>
              <w:right w:type="dxa" w:w="120"/>
            </w:tcMar>
          </w:tcPr>
          <w:p>
            <w:r>
              <w:rPr>
                <w:rFonts w:ascii="Arial" w:cs="Arial" w:eastAsia="Arial" w:hAnsi="Arial"/>
                <w:color w:val="1E6B3A"/>
                <w:sz w:val="19"/>
                <w:szCs w:val="19"/>
              </w:rPr>
              <w:t xml:space="preserve">Skeleton shimmer cards</w:t>
            </w:r>
          </w:p>
        </w:tc>
      </w:tr>
      <w:tr>
        <w:tc>
          <w:tcPr>
            <w:tcW w:type="dxa" w:w="2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r>
              <w:rPr>
                <w:rFonts w:ascii="Arial" w:cs="Arial" w:eastAsia="Arial" w:hAnsi="Arial"/>
                <w:b/>
                <w:bCs/>
                <w:color w:val="1A1A2E"/>
                <w:sz w:val="19"/>
                <w:szCs w:val="19"/>
              </w:rPr>
              <w:t xml:space="preserve">Poll widget</w:t>
            </w:r>
          </w:p>
        </w:tc>
        <w:tc>
          <w:tcPr>
            <w:tcW w:type="dxa" w:w="356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Radio form, no live distribution</w:t>
            </w:r>
          </w:p>
        </w:tc>
        <w:tc>
          <w:tcPr>
            <w:tcW w:type="dxa" w:w="14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jc w:val="center"/>
            </w:pPr>
            <w:r>
              <w:rPr>
                <w:rFonts w:ascii="Arial" w:cs="Arial" w:eastAsia="Arial" w:hAnsi="Arial"/>
                <w:b/>
                <w:bCs/>
                <w:color w:val="7D3C98"/>
                <w:sz w:val="18"/>
                <w:szCs w:val="18"/>
              </w:rPr>
              <w:t xml:space="preserve">Medium</w:t>
            </w:r>
          </w:p>
        </w:tc>
        <w:tc>
          <w:tcPr>
            <w:tcW w:type="dxa" w:w="2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r>
              <w:rPr>
                <w:rFonts w:ascii="Arial" w:cs="Arial" w:eastAsia="Arial" w:hAnsi="Arial"/>
                <w:color w:val="1E6B3A"/>
                <w:sz w:val="19"/>
                <w:szCs w:val="19"/>
              </w:rPr>
              <w:t xml:space="preserve">3-col bars + response count</w:t>
            </w:r>
          </w:p>
        </w:tc>
      </w:tr>
      <w:tr>
        <w:tc>
          <w:tcPr>
            <w:tcW w:type="dxa" w:w="2200"/>
            <w:tcBorders>
              <w:top w:val="single" w:color="BDC3C7" w:sz="1"/>
              <w:left w:val="single" w:color="BDC3C7" w:sz="1"/>
              <w:bottom w:val="single" w:color="BDC3C7" w:sz="1"/>
              <w:right w:val="single" w:color="BDC3C7" w:sz="1"/>
            </w:tcBorders>
            <w:shd w:fill="F2F3F4" w:val="clear"/>
            <w:tcMar>
              <w:top w:type="dxa" w:w="70"/>
              <w:left w:type="dxa" w:w="120"/>
              <w:bottom w:type="dxa" w:w="70"/>
              <w:right w:type="dxa" w:w="120"/>
            </w:tcMar>
          </w:tcPr>
          <w:p>
            <w:r>
              <w:rPr>
                <w:rFonts w:ascii="Arial" w:cs="Arial" w:eastAsia="Arial" w:hAnsi="Arial"/>
                <w:b/>
                <w:bCs/>
                <w:color w:val="1A1A2E"/>
                <w:sz w:val="19"/>
                <w:szCs w:val="19"/>
              </w:rPr>
              <w:t xml:space="preserve">USSD block</w:t>
            </w:r>
          </w:p>
        </w:tc>
        <w:tc>
          <w:tcPr>
            <w:tcW w:type="dxa" w:w="3560"/>
            <w:tcBorders>
              <w:top w:val="single" w:color="BDC3C7" w:sz="1"/>
              <w:left w:val="single" w:color="BDC3C7" w:sz="1"/>
              <w:bottom w:val="single" w:color="BDC3C7" w:sz="1"/>
              <w:right w:val="single" w:color="BDC3C7" w:sz="1"/>
            </w:tcBorders>
            <w:shd w:fill="F2F3F4" w:val="clear"/>
            <w:tcMar>
              <w:top w:type="dxa" w:w="70"/>
              <w:left w:type="dxa" w:w="120"/>
              <w:bottom w:type="dxa" w:w="70"/>
              <w:right w:type="dxa" w:w="120"/>
            </w:tcMar>
          </w:tcPr>
          <w:p>
            <w:r>
              <w:rPr>
                <w:rFonts w:ascii="Arial" w:cs="Arial" w:eastAsia="Arial" w:hAnsi="Arial"/>
                <w:color w:val="2C2C2C"/>
                <w:sz w:val="19"/>
                <w:szCs w:val="19"/>
              </w:rPr>
              <w:t xml:space="preserve">Treated as body text</w:t>
            </w:r>
          </w:p>
        </w:tc>
        <w:tc>
          <w:tcPr>
            <w:tcW w:type="dxa" w:w="1400"/>
            <w:tcBorders>
              <w:top w:val="single" w:color="BDC3C7" w:sz="1"/>
              <w:left w:val="single" w:color="BDC3C7" w:sz="1"/>
              <w:bottom w:val="single" w:color="BDC3C7" w:sz="1"/>
              <w:right w:val="single" w:color="BDC3C7" w:sz="1"/>
            </w:tcBorders>
            <w:shd w:fill="F2F3F4" w:val="clear"/>
            <w:tcMar>
              <w:top w:type="dxa" w:w="70"/>
              <w:left w:type="dxa" w:w="120"/>
              <w:bottom w:type="dxa" w:w="70"/>
              <w:right w:type="dxa" w:w="120"/>
            </w:tcMar>
          </w:tcPr>
          <w:p>
            <w:pPr>
              <w:jc w:val="center"/>
            </w:pPr>
            <w:r>
              <w:rPr>
                <w:rFonts w:ascii="Arial" w:cs="Arial" w:eastAsia="Arial" w:hAnsi="Arial"/>
                <w:b/>
                <w:bCs/>
                <w:color w:val="7D3C98"/>
                <w:sz w:val="18"/>
                <w:szCs w:val="18"/>
              </w:rPr>
              <w:t xml:space="preserve">Medium</w:t>
            </w:r>
          </w:p>
        </w:tc>
        <w:tc>
          <w:tcPr>
            <w:tcW w:type="dxa" w:w="2200"/>
            <w:tcBorders>
              <w:top w:val="single" w:color="BDC3C7" w:sz="1"/>
              <w:left w:val="single" w:color="BDC3C7" w:sz="1"/>
              <w:bottom w:val="single" w:color="BDC3C7" w:sz="1"/>
              <w:right w:val="single" w:color="BDC3C7" w:sz="1"/>
            </w:tcBorders>
            <w:shd w:fill="F2F3F4" w:val="clear"/>
            <w:tcMar>
              <w:top w:type="dxa" w:w="70"/>
              <w:left w:type="dxa" w:w="120"/>
              <w:bottom w:type="dxa" w:w="70"/>
              <w:right w:type="dxa" w:w="120"/>
            </w:tcMar>
          </w:tcPr>
          <w:p>
            <w:r>
              <w:rPr>
                <w:rFonts w:ascii="Arial" w:cs="Arial" w:eastAsia="Arial" w:hAnsi="Arial"/>
                <w:color w:val="1E6B3A"/>
                <w:sz w:val="19"/>
                <w:szCs w:val="19"/>
              </w:rPr>
              <w:t xml:space="preserve">Monospace hero block + copy button</w:t>
            </w:r>
          </w:p>
        </w:tc>
      </w:tr>
      <w:tr>
        <w:tc>
          <w:tcPr>
            <w:tcW w:type="dxa" w:w="2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r>
              <w:rPr>
                <w:rFonts w:ascii="Arial" w:cs="Arial" w:eastAsia="Arial" w:hAnsi="Arial"/>
                <w:b/>
                <w:bCs/>
                <w:color w:val="1A1A2E"/>
                <w:sz w:val="19"/>
                <w:szCs w:val="19"/>
              </w:rPr>
              <w:t xml:space="preserve">Empty states</w:t>
            </w:r>
          </w:p>
        </w:tc>
        <w:tc>
          <w:tcPr>
            <w:tcW w:type="dxa" w:w="356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Developer placeholder copy</w:t>
            </w:r>
          </w:p>
        </w:tc>
        <w:tc>
          <w:tcPr>
            <w:tcW w:type="dxa" w:w="14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jc w:val="center"/>
            </w:pPr>
            <w:r>
              <w:rPr>
                <w:rFonts w:ascii="Arial" w:cs="Arial" w:eastAsia="Arial" w:hAnsi="Arial"/>
                <w:b/>
                <w:bCs/>
                <w:color w:val="7D3C98"/>
                <w:sz w:val="18"/>
                <w:szCs w:val="18"/>
              </w:rPr>
              <w:t xml:space="preserve">Medium</w:t>
            </w:r>
          </w:p>
        </w:tc>
        <w:tc>
          <w:tcPr>
            <w:tcW w:type="dxa" w:w="2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r>
              <w:rPr>
                <w:rFonts w:ascii="Arial" w:cs="Arial" w:eastAsia="Arial" w:hAnsi="Arial"/>
                <w:color w:val="1E6B3A"/>
                <w:sz w:val="19"/>
                <w:szCs w:val="19"/>
              </w:rPr>
              <w:t xml:space="preserve">Designed empty states with actions</w:t>
            </w:r>
          </w:p>
        </w:tc>
      </w:tr>
      <w:tr>
        <w:tc>
          <w:tcPr>
            <w:tcW w:type="dxa" w:w="2200"/>
            <w:tcBorders>
              <w:top w:val="single" w:color="BDC3C7" w:sz="1"/>
              <w:left w:val="single" w:color="BDC3C7" w:sz="1"/>
              <w:bottom w:val="single" w:color="BDC3C7" w:sz="1"/>
              <w:right w:val="single" w:color="BDC3C7" w:sz="1"/>
            </w:tcBorders>
            <w:shd w:fill="F2F3F4" w:val="clear"/>
            <w:tcMar>
              <w:top w:type="dxa" w:w="70"/>
              <w:left w:type="dxa" w:w="120"/>
              <w:bottom w:type="dxa" w:w="70"/>
              <w:right w:type="dxa" w:w="120"/>
            </w:tcMar>
          </w:tcPr>
          <w:p>
            <w:r>
              <w:rPr>
                <w:rFonts w:ascii="Arial" w:cs="Arial" w:eastAsia="Arial" w:hAnsi="Arial"/>
                <w:b/>
                <w:bCs/>
                <w:color w:val="1A1A2E"/>
                <w:sz w:val="19"/>
                <w:szCs w:val="19"/>
              </w:rPr>
              <w:t xml:space="preserve">Typography</w:t>
            </w:r>
          </w:p>
        </w:tc>
        <w:tc>
          <w:tcPr>
            <w:tcW w:type="dxa" w:w="3560"/>
            <w:tcBorders>
              <w:top w:val="single" w:color="BDC3C7" w:sz="1"/>
              <w:left w:val="single" w:color="BDC3C7" w:sz="1"/>
              <w:bottom w:val="single" w:color="BDC3C7" w:sz="1"/>
              <w:right w:val="single" w:color="BDC3C7" w:sz="1"/>
            </w:tcBorders>
            <w:shd w:fill="F2F3F4" w:val="clear"/>
            <w:tcMar>
              <w:top w:type="dxa" w:w="70"/>
              <w:left w:type="dxa" w:w="120"/>
              <w:bottom w:type="dxa" w:w="70"/>
              <w:right w:type="dxa" w:w="120"/>
            </w:tcMar>
          </w:tcPr>
          <w:p>
            <w:r>
              <w:rPr>
                <w:rFonts w:ascii="Arial" w:cs="Arial" w:eastAsia="Arial" w:hAnsi="Arial"/>
                <w:color w:val="2C2C2C"/>
                <w:sz w:val="19"/>
                <w:szCs w:val="19"/>
              </w:rPr>
              <w:t xml:space="preserve">Flat weight distribution</w:t>
            </w:r>
          </w:p>
        </w:tc>
        <w:tc>
          <w:tcPr>
            <w:tcW w:type="dxa" w:w="1400"/>
            <w:tcBorders>
              <w:top w:val="single" w:color="BDC3C7" w:sz="1"/>
              <w:left w:val="single" w:color="BDC3C7" w:sz="1"/>
              <w:bottom w:val="single" w:color="BDC3C7" w:sz="1"/>
              <w:right w:val="single" w:color="BDC3C7" w:sz="1"/>
            </w:tcBorders>
            <w:shd w:fill="F2F3F4" w:val="clear"/>
            <w:tcMar>
              <w:top w:type="dxa" w:w="70"/>
              <w:left w:type="dxa" w:w="120"/>
              <w:bottom w:type="dxa" w:w="70"/>
              <w:right w:type="dxa" w:w="120"/>
            </w:tcMar>
          </w:tcPr>
          <w:p>
            <w:pPr>
              <w:jc w:val="center"/>
            </w:pPr>
            <w:r>
              <w:rPr>
                <w:rFonts w:ascii="Arial" w:cs="Arial" w:eastAsia="Arial" w:hAnsi="Arial"/>
                <w:b/>
                <w:bCs/>
                <w:color w:val="7D3C98"/>
                <w:sz w:val="18"/>
                <w:szCs w:val="18"/>
              </w:rPr>
              <w:t xml:space="preserve">Medium</w:t>
            </w:r>
          </w:p>
        </w:tc>
        <w:tc>
          <w:tcPr>
            <w:tcW w:type="dxa" w:w="2200"/>
            <w:tcBorders>
              <w:top w:val="single" w:color="BDC3C7" w:sz="1"/>
              <w:left w:val="single" w:color="BDC3C7" w:sz="1"/>
              <w:bottom w:val="single" w:color="BDC3C7" w:sz="1"/>
              <w:right w:val="single" w:color="BDC3C7" w:sz="1"/>
            </w:tcBorders>
            <w:shd w:fill="F2F3F4" w:val="clear"/>
            <w:tcMar>
              <w:top w:type="dxa" w:w="70"/>
              <w:left w:type="dxa" w:w="120"/>
              <w:bottom w:type="dxa" w:w="70"/>
              <w:right w:type="dxa" w:w="120"/>
            </w:tcMar>
          </w:tcPr>
          <w:p>
            <w:r>
              <w:rPr>
                <w:rFonts w:ascii="Arial" w:cs="Arial" w:eastAsia="Arial" w:hAnsi="Arial"/>
                <w:color w:val="1E6B3A"/>
                <w:sz w:val="19"/>
                <w:szCs w:val="19"/>
              </w:rPr>
              <w:t xml:space="preserve">Three-tier weight system</w:t>
            </w:r>
          </w:p>
        </w:tc>
      </w:tr>
    </w:tbl>
    <w:p>
      <w:pPr>
        <w:pStyle w:val="Heading1"/>
        <w:spacing w:after="120" w:before="360"/>
      </w:pPr>
      <w:r>
        <w:rPr>
          <w:rFonts w:ascii="Arial" w:cs="Arial" w:eastAsia="Arial" w:hAnsi="Arial"/>
          <w:b/>
          <w:bCs/>
          <w:color w:val="1A1A2E"/>
          <w:sz w:val="32"/>
          <w:szCs w:val="32"/>
        </w:rPr>
        <w:t xml:space="preserve">5. Underlying Frontend Principles</w:t>
      </w:r>
    </w:p>
    <w:p>
      <w:pPr>
        <w:spacing w:after="100" w:before="60"/>
      </w:pPr>
      <w:r>
        <w:rPr>
          <w:rFonts w:ascii="Arial" w:cs="Arial" w:eastAsia="Arial" w:hAnsi="Arial"/>
          <w:b w:val="false"/>
          <w:bCs w:val="false"/>
          <w:color w:val="2C2C2C"/>
          <w:sz w:val="22"/>
          <w:szCs w:val="22"/>
        </w:rPr>
        <w:t xml:space="preserve">The issues above stem from a small set of recurring design defaults. Fixing the specific issues will not be sustainable unless these principles are adopted site-wide.</w:t>
      </w:r>
    </w:p>
    <w:p>
      <w:pPr>
        <w:spacing w:before="60"/>
      </w:pPr>
      <w:r>
        <w:t xml:space="preserve"/>
      </w:r>
    </w:p>
    <w:p>
      <w:pPr>
        <w:pStyle w:val="Heading3"/>
        <w:spacing w:after="80" w:before="200"/>
      </w:pPr>
      <w:r>
        <w:rPr>
          <w:rFonts w:ascii="Arial" w:cs="Arial" w:eastAsia="Arial" w:hAnsi="Arial"/>
          <w:b/>
          <w:bCs/>
          <w:color w:val="1A1A2E"/>
          <w:sz w:val="22"/>
          <w:szCs w:val="22"/>
        </w:rPr>
        <w:t xml:space="preserve">5.1 Information Hierarchy Over Decoration</w:t>
      </w:r>
    </w:p>
    <w:p>
      <w:pPr>
        <w:spacing w:after="100" w:before="60"/>
      </w:pPr>
      <w:r>
        <w:rPr>
          <w:rFonts w:ascii="Arial" w:cs="Arial" w:eastAsia="Arial" w:hAnsi="Arial"/>
          <w:b w:val="false"/>
          <w:bCs w:val="false"/>
          <w:color w:val="2C2C2C"/>
          <w:sz w:val="22"/>
          <w:szCs w:val="22"/>
        </w:rPr>
        <w:t xml:space="preserve">Every page should answer: what is the most important thing on this page? That element gets the most visual weight. Everything else steps back. Currently, Bunge Mkononi treats all elements at roughly equal weight, which means the user’s eye has no guidance.</w:t>
      </w:r>
    </w:p>
    <w:p>
      <w:pPr>
        <w:pStyle w:val="Heading3"/>
        <w:spacing w:after="80" w:before="200"/>
      </w:pPr>
      <w:r>
        <w:rPr>
          <w:rFonts w:ascii="Arial" w:cs="Arial" w:eastAsia="Arial" w:hAnsi="Arial"/>
          <w:b/>
          <w:bCs/>
          <w:color w:val="1A1A2E"/>
          <w:sz w:val="22"/>
          <w:szCs w:val="22"/>
        </w:rPr>
        <w:t xml:space="preserve">5.2 The USSD Code Is a Feature, Not a Link</w:t>
      </w:r>
    </w:p>
    <w:p>
      <w:pPr>
        <w:spacing w:after="100" w:before="60"/>
      </w:pPr>
      <w:r>
        <w:rPr>
          <w:rFonts w:ascii="Arial" w:cs="Arial" w:eastAsia="Arial" w:hAnsi="Arial"/>
          <w:b w:val="false"/>
          <w:bCs w:val="false"/>
          <w:color w:val="2C2C2C"/>
          <w:sz w:val="22"/>
          <w:szCs w:val="22"/>
        </w:rPr>
        <w:t xml:space="preserve">*384*16250# is the product’s core differentiator in a market where smartphone penetration is uneven. It should be designed with the same prominence as a primary CTA button — not embedded in body text.</w:t>
      </w:r>
    </w:p>
    <w:p>
      <w:pPr>
        <w:pStyle w:val="Heading3"/>
        <w:spacing w:after="80" w:before="200"/>
      </w:pPr>
      <w:r>
        <w:rPr>
          <w:rFonts w:ascii="Arial" w:cs="Arial" w:eastAsia="Arial" w:hAnsi="Arial"/>
          <w:b/>
          <w:bCs/>
          <w:color w:val="1A1A2E"/>
          <w:sz w:val="22"/>
          <w:szCs w:val="22"/>
        </w:rPr>
        <w:t xml:space="preserve">5.3 Empty States Are Part of the Product</w:t>
      </w:r>
    </w:p>
    <w:p>
      <w:pPr>
        <w:spacing w:after="100" w:before="60"/>
      </w:pPr>
      <w:r>
        <w:rPr>
          <w:rFonts w:ascii="Arial" w:cs="Arial" w:eastAsia="Arial" w:hAnsi="Arial"/>
          <w:b w:val="false"/>
          <w:bCs w:val="false"/>
          <w:color w:val="2C2C2C"/>
          <w:sz w:val="22"/>
          <w:szCs w:val="22"/>
        </w:rPr>
        <w:t xml:space="preserve">Every section that can be empty will be empty for most new users. Empty states are not error conditions — they are opportunities to explain the product and guide the user to the next action. They should be designed, not left as developer placeholder text.</w:t>
      </w:r>
    </w:p>
    <w:p>
      <w:pPr>
        <w:pStyle w:val="Heading3"/>
        <w:spacing w:after="80" w:before="200"/>
      </w:pPr>
      <w:r>
        <w:rPr>
          <w:rFonts w:ascii="Arial" w:cs="Arial" w:eastAsia="Arial" w:hAnsi="Arial"/>
          <w:b/>
          <w:bCs/>
          <w:color w:val="1A1A2E"/>
          <w:sz w:val="22"/>
          <w:szCs w:val="22"/>
        </w:rPr>
        <w:t xml:space="preserve">5.4 Mobile-First Reading Width</w:t>
      </w:r>
    </w:p>
    <w:p>
      <w:pPr>
        <w:spacing w:after="100" w:before="60"/>
      </w:pPr>
      <w:r>
        <w:rPr>
          <w:rFonts w:ascii="Arial" w:cs="Arial" w:eastAsia="Arial" w:hAnsi="Arial"/>
          <w:b w:val="false"/>
          <w:bCs w:val="false"/>
          <w:color w:val="2C2C2C"/>
          <w:sz w:val="22"/>
          <w:szCs w:val="22"/>
        </w:rPr>
        <w:t xml:space="preserve">On a mobile screen (360–390px), content naturally fits within a comfortable reading width. On desktop, content expands to fill the viewport unless constrained. Apply max-width and center alignment to all primary content areas to maintain the comfortable reading experience at all viewport sizes.</w:t>
      </w:r>
    </w:p>
    <w:p>
      <w:pPr>
        <w:pStyle w:val="Heading3"/>
        <w:spacing w:after="80" w:before="200"/>
      </w:pPr>
      <w:r>
        <w:rPr>
          <w:rFonts w:ascii="Arial" w:cs="Arial" w:eastAsia="Arial" w:hAnsi="Arial"/>
          <w:b/>
          <w:bCs/>
          <w:color w:val="1A1A2E"/>
          <w:sz w:val="22"/>
          <w:szCs w:val="22"/>
        </w:rPr>
        <w:t xml:space="preserve">5.5 Skeleton States as Default Loading Pattern</w:t>
      </w:r>
    </w:p>
    <w:p>
      <w:pPr>
        <w:spacing w:after="100" w:before="60"/>
      </w:pPr>
      <w:r>
        <w:rPr>
          <w:rFonts w:ascii="Arial" w:cs="Arial" w:eastAsia="Arial" w:hAnsi="Arial"/>
          <w:b w:val="false"/>
          <w:bCs w:val="false"/>
          <w:color w:val="2C2C2C"/>
          <w:sz w:val="22"/>
          <w:szCs w:val="22"/>
        </w:rPr>
        <w:t xml:space="preserve">Every section that loads asynchronously should have a skeleton state. Spinners communicate “waiting.” Skeleton cards communicate “content is coming, here is its shape.” The latter builds confidence; the former breeds doubt.</w:t>
      </w:r>
    </w:p>
    <w:p>
      <w:pPr>
        <w:spacing w:before="200"/>
      </w:pPr>
      <w:r>
        <w:t xml:space="preserve"/>
      </w:r>
    </w:p>
    <w:p>
      <w:pPr>
        <w:pBdr>
          <w:top w:val="single" w:color="BDC3C7" w:sz="4" w:space="8"/>
        </w:pBdr>
        <w:spacing w:before="120"/>
        <w:jc w:val="center"/>
      </w:pPr>
      <w:r>
        <w:rPr>
          <w:rFonts w:ascii="Arial" w:cs="Arial" w:eastAsia="Arial" w:hAnsi="Arial"/>
          <w:i/>
          <w:iCs/>
          <w:color w:val="5D6D7E"/>
          <w:sz w:val="18"/>
          <w:szCs w:val="18"/>
        </w:rPr>
        <w:t xml:space="preserve">End of Document — Bunge Mkononi Frontend UX/UI Audit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5E" w:sz="4" w:space="4"/>
      </w:pBdr>
      <w:tabs>
        <w:tab w:val="right" w:pos="9026"/>
      </w:tabs>
      <w:spacing w:before="100"/>
    </w:pPr>
    <w:r>
      <w:rPr>
        <w:rFonts w:ascii="Arial" w:cs="Arial" w:eastAsia="Arial" w:hAnsi="Arial"/>
        <w:color w:val="5D6D7E"/>
        <w:sz w:val="18"/>
        <w:szCs w:val="18"/>
      </w:rPr>
      <w:t xml:space="preserve">Frontend Design &amp; UX Recommendations</w:t>
    </w:r>
    <w:r>
      <w:rPr>
        <w:rFonts w:ascii="Arial" w:cs="Arial" w:eastAsia="Arial" w:hAnsi="Arial"/>
      </w:rPr>
      <w:t xml:space="preserve">	</w:t>
    </w:r>
    <w:r>
      <w:rPr>
        <w:rFonts w:ascii="Arial" w:cs="Arial" w:eastAsia="Arial" w:hAnsi="Arial"/>
        <w:color w:val="5D6D7E"/>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4" w:space="4"/>
      </w:pBdr>
      <w:tabs>
        <w:tab w:val="right" w:pos="9026"/>
      </w:tabs>
      <w:spacing w:after="100"/>
    </w:pPr>
    <w:r>
      <w:rPr>
        <w:rFonts w:ascii="Arial" w:cs="Arial" w:eastAsia="Arial" w:hAnsi="Arial"/>
        <w:color w:val="5D6D7E"/>
        <w:sz w:val="18"/>
        <w:szCs w:val="18"/>
      </w:rPr>
      <w:t xml:space="preserve">Bunge Mkononi — Frontend UX/UI Review</w:t>
    </w:r>
    <w:r>
      <w:rPr>
        <w:rFonts w:ascii="Arial" w:cs="Arial" w:eastAsia="Arial" w:hAnsi="Arial"/>
        <w:sz w:val="18"/>
        <w:szCs w:val="18"/>
      </w:rPr>
      <w:t xml:space="preserve">	</w:t>
    </w:r>
    <w:r>
      <w:rPr>
        <w:rFonts w:ascii="Arial" w:cs="Arial" w:eastAsia="Arial" w:hAnsi="Arial"/>
        <w:i/>
        <w:iCs/>
        <w:color w:val="BDC3C7"/>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10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2026-03-26T13:14:38.007Z</dcterms:created>
  <dcterms:modified xsi:type="dcterms:W3CDTF">2026-03-26T13:14:38.009Z</dcterms:modified>
</cp:coreProperties>
</file>

<file path=docProps/custom.xml><?xml version="1.0" encoding="utf-8"?>
<Properties xmlns="http://schemas.openxmlformats.org/officeDocument/2006/custom-properties" xmlns:vt="http://schemas.openxmlformats.org/officeDocument/2006/docPropsVTypes"/>
</file>