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{9BC6AFC8-131D-425B-ACDA-BAAC58726E2E}</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