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393B" w14:textId="58317769" w:rsidR="001877AF" w:rsidRPr="00EA4738" w:rsidRDefault="00EA4738" w:rsidP="00EA4738">
      <w:pPr>
        <w:spacing w:after="0" w:line="240" w:lineRule="auto"/>
        <w:jc w:val="center"/>
        <w:rPr>
          <w:color w:val="2F5496" w:themeColor="accent1" w:themeShade="BF"/>
          <w:sz w:val="36"/>
          <w:szCs w:val="36"/>
        </w:rPr>
      </w:pPr>
      <w:r w:rsidRPr="00EA4738">
        <w:rPr>
          <w:color w:val="2F5496" w:themeColor="accent1" w:themeShade="BF"/>
          <w:sz w:val="36"/>
          <w:szCs w:val="36"/>
        </w:rPr>
        <w:t>SYST8111 – Server Virtualization</w:t>
      </w:r>
    </w:p>
    <w:p w14:paraId="5AC681CF" w14:textId="565AA55D" w:rsidR="00EA4738" w:rsidRDefault="00EA4738" w:rsidP="00B202B3">
      <w:pPr>
        <w:spacing w:after="0" w:line="240" w:lineRule="auto"/>
        <w:jc w:val="center"/>
        <w:rPr>
          <w:sz w:val="24"/>
          <w:szCs w:val="24"/>
        </w:rPr>
      </w:pPr>
      <w:r w:rsidRPr="00EA4738">
        <w:rPr>
          <w:color w:val="2F5496" w:themeColor="accent1" w:themeShade="BF"/>
          <w:sz w:val="36"/>
          <w:szCs w:val="36"/>
        </w:rPr>
        <w:t xml:space="preserve">Assignment </w:t>
      </w:r>
      <w:r w:rsidR="00B202B3">
        <w:rPr>
          <w:color w:val="2F5496" w:themeColor="accent1" w:themeShade="BF"/>
          <w:sz w:val="36"/>
          <w:szCs w:val="36"/>
        </w:rPr>
        <w:t>3</w:t>
      </w:r>
      <w:r w:rsidRPr="00EA4738">
        <w:rPr>
          <w:color w:val="2F5496" w:themeColor="accent1" w:themeShade="BF"/>
          <w:sz w:val="36"/>
          <w:szCs w:val="36"/>
        </w:rPr>
        <w:t xml:space="preserve">: </w:t>
      </w:r>
      <w:r w:rsidR="00B202B3">
        <w:rPr>
          <w:color w:val="2F5496" w:themeColor="accent1" w:themeShade="BF"/>
          <w:sz w:val="36"/>
          <w:szCs w:val="36"/>
        </w:rPr>
        <w:t>Building our VM Solution</w:t>
      </w:r>
    </w:p>
    <w:p w14:paraId="43BFE4EE" w14:textId="33BE5767" w:rsidR="00EA4738" w:rsidRDefault="00EA4738" w:rsidP="00EA4738">
      <w:pPr>
        <w:spacing w:after="0" w:line="240" w:lineRule="auto"/>
        <w:rPr>
          <w:sz w:val="24"/>
          <w:szCs w:val="24"/>
        </w:rPr>
      </w:pPr>
    </w:p>
    <w:p w14:paraId="282BD533" w14:textId="65D66D7E" w:rsidR="00EA4738" w:rsidRPr="00EA4738" w:rsidRDefault="00EA4738" w:rsidP="00EA4738">
      <w:pPr>
        <w:spacing w:after="120" w:line="240" w:lineRule="auto"/>
        <w:rPr>
          <w:color w:val="2F5496" w:themeColor="accent1" w:themeShade="BF"/>
          <w:sz w:val="32"/>
          <w:szCs w:val="32"/>
        </w:rPr>
      </w:pPr>
      <w:r w:rsidRPr="00EA4738">
        <w:rPr>
          <w:color w:val="2F5496" w:themeColor="accent1" w:themeShade="BF"/>
          <w:sz w:val="32"/>
          <w:szCs w:val="32"/>
        </w:rPr>
        <w:t>Overview</w:t>
      </w:r>
    </w:p>
    <w:p w14:paraId="2C2BA821" w14:textId="0AD15E8E" w:rsidR="00EA4738" w:rsidRDefault="00EA4738" w:rsidP="00B202B3">
      <w:pPr>
        <w:spacing w:after="12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is your </w:t>
      </w:r>
      <w:r w:rsidR="00120FE2">
        <w:rPr>
          <w:sz w:val="24"/>
          <w:szCs w:val="24"/>
        </w:rPr>
        <w:t>third</w:t>
      </w:r>
      <w:r w:rsidR="00B202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assignment for server virtualization.  It is based on </w:t>
      </w:r>
      <w:r w:rsidR="00B202B3">
        <w:rPr>
          <w:sz w:val="24"/>
          <w:szCs w:val="24"/>
        </w:rPr>
        <w:t>lab work committed so far; as such, Labs 1A, 1B, 2A, 2B, Lab 3 must be completed before committing to this effort.</w:t>
      </w:r>
      <w:r w:rsidR="00120FE2">
        <w:rPr>
          <w:sz w:val="24"/>
          <w:szCs w:val="24"/>
        </w:rPr>
        <w:t xml:space="preserve">  Here you will prepare a number datastores for use by the ESXi </w:t>
      </w:r>
      <w:r w:rsidR="00531048">
        <w:rPr>
          <w:sz w:val="24"/>
          <w:szCs w:val="24"/>
        </w:rPr>
        <w:t>cluster and</w:t>
      </w:r>
      <w:r w:rsidR="00120FE2">
        <w:rPr>
          <w:sz w:val="24"/>
          <w:szCs w:val="24"/>
        </w:rPr>
        <w:t xml:space="preserve"> transfer an ISO image to the cluster for deployment of two web servers, and one database server.</w:t>
      </w:r>
      <w:r w:rsidR="00531048">
        <w:rPr>
          <w:sz w:val="24"/>
          <w:szCs w:val="24"/>
        </w:rPr>
        <w:t xml:space="preserve">  The second web server will be done at a latter date as part of another lab.</w:t>
      </w:r>
    </w:p>
    <w:p w14:paraId="6081DAC7" w14:textId="70B2F91B" w:rsidR="00EA4738" w:rsidRDefault="00EA4738" w:rsidP="00EA4738">
      <w:pPr>
        <w:spacing w:after="0" w:line="240" w:lineRule="auto"/>
        <w:rPr>
          <w:sz w:val="24"/>
          <w:szCs w:val="24"/>
        </w:rPr>
      </w:pPr>
    </w:p>
    <w:p w14:paraId="1D0B6178" w14:textId="23E03FE9" w:rsidR="00EA4738" w:rsidRPr="00EA4738" w:rsidRDefault="00EA4738" w:rsidP="00EA4738">
      <w:pPr>
        <w:spacing w:after="120" w:line="240" w:lineRule="auto"/>
        <w:rPr>
          <w:color w:val="2F5496" w:themeColor="accent1" w:themeShade="BF"/>
          <w:sz w:val="32"/>
          <w:szCs w:val="32"/>
        </w:rPr>
      </w:pPr>
      <w:r w:rsidRPr="00EA4738">
        <w:rPr>
          <w:color w:val="2F5496" w:themeColor="accent1" w:themeShade="BF"/>
          <w:sz w:val="32"/>
          <w:szCs w:val="32"/>
        </w:rPr>
        <w:t>NOTE</w:t>
      </w:r>
    </w:p>
    <w:p w14:paraId="6D009653" w14:textId="6061DBF7" w:rsidR="00EA4738" w:rsidRDefault="00EA4738" w:rsidP="00EA47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individual </w:t>
      </w:r>
      <w:r w:rsidR="00531048">
        <w:rPr>
          <w:sz w:val="24"/>
          <w:szCs w:val="24"/>
        </w:rPr>
        <w:t>assignment.</w:t>
      </w:r>
    </w:p>
    <w:p w14:paraId="6C9305CA" w14:textId="7C3558F3" w:rsidR="00EA4738" w:rsidRDefault="00EA4738" w:rsidP="00EA47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be assessed against existing bodies of </w:t>
      </w:r>
      <w:r w:rsidR="00531048">
        <w:rPr>
          <w:sz w:val="24"/>
          <w:szCs w:val="24"/>
        </w:rPr>
        <w:t>work.</w:t>
      </w:r>
    </w:p>
    <w:p w14:paraId="4122E152" w14:textId="3210D295" w:rsidR="00EA4738" w:rsidRDefault="00EA4738" w:rsidP="00EA47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assessment is out of 15 </w:t>
      </w:r>
      <w:r w:rsidR="00531048">
        <w:rPr>
          <w:sz w:val="24"/>
          <w:szCs w:val="24"/>
        </w:rPr>
        <w:t>marks.</w:t>
      </w:r>
    </w:p>
    <w:p w14:paraId="38D22715" w14:textId="50B9F108" w:rsidR="00EA4738" w:rsidRDefault="00EA4738" w:rsidP="00EA4738">
      <w:pPr>
        <w:spacing w:after="0" w:line="240" w:lineRule="auto"/>
        <w:rPr>
          <w:sz w:val="24"/>
          <w:szCs w:val="24"/>
        </w:rPr>
      </w:pPr>
    </w:p>
    <w:p w14:paraId="0860B134" w14:textId="1549E881" w:rsidR="00EA4738" w:rsidRPr="00C45089" w:rsidRDefault="00EA4738" w:rsidP="00C45089">
      <w:pPr>
        <w:spacing w:after="120" w:line="240" w:lineRule="auto"/>
        <w:rPr>
          <w:color w:val="2F5496" w:themeColor="accent1" w:themeShade="BF"/>
          <w:sz w:val="32"/>
          <w:szCs w:val="32"/>
        </w:rPr>
      </w:pPr>
      <w:r w:rsidRPr="00C45089">
        <w:rPr>
          <w:color w:val="2F5496" w:themeColor="accent1" w:themeShade="BF"/>
          <w:sz w:val="32"/>
          <w:szCs w:val="32"/>
        </w:rPr>
        <w:t>Task</w:t>
      </w:r>
    </w:p>
    <w:p w14:paraId="4F694972" w14:textId="3909A226" w:rsidR="00EA4738" w:rsidRDefault="00EA4738" w:rsidP="00C45089">
      <w:pPr>
        <w:spacing w:after="12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 this assignment you must compile your answers in one DOCX</w:t>
      </w:r>
      <w:r w:rsidR="00C45089">
        <w:rPr>
          <w:sz w:val="24"/>
          <w:szCs w:val="24"/>
        </w:rPr>
        <w:t xml:space="preserve">, or PDF file.  Make sure to number your answers by properly referring part numbers and sub question number. </w:t>
      </w:r>
    </w:p>
    <w:p w14:paraId="09A40F6B" w14:textId="0F5237BE" w:rsidR="00C45089" w:rsidRPr="00120FE2" w:rsidRDefault="00C45089" w:rsidP="00120FE2">
      <w:pPr>
        <w:rPr>
          <w:sz w:val="24"/>
          <w:szCs w:val="24"/>
        </w:rPr>
      </w:pPr>
      <w:r w:rsidRPr="005A440E">
        <w:rPr>
          <w:color w:val="2F5496" w:themeColor="accent1" w:themeShade="BF"/>
          <w:sz w:val="32"/>
          <w:szCs w:val="32"/>
        </w:rPr>
        <w:t xml:space="preserve">Part </w:t>
      </w:r>
      <w:r w:rsidR="00434D96">
        <w:rPr>
          <w:color w:val="2F5496" w:themeColor="accent1" w:themeShade="BF"/>
          <w:sz w:val="32"/>
          <w:szCs w:val="32"/>
        </w:rPr>
        <w:t>A</w:t>
      </w:r>
      <w:r w:rsidRPr="005A440E">
        <w:rPr>
          <w:color w:val="2F5496" w:themeColor="accent1" w:themeShade="BF"/>
          <w:sz w:val="32"/>
          <w:szCs w:val="32"/>
        </w:rPr>
        <w:t xml:space="preserve"> – </w:t>
      </w:r>
      <w:r w:rsidR="00120FE2">
        <w:rPr>
          <w:color w:val="2F5496" w:themeColor="accent1" w:themeShade="BF"/>
          <w:sz w:val="32"/>
          <w:szCs w:val="32"/>
        </w:rPr>
        <w:t>Lab 4 – Datastores</w:t>
      </w:r>
    </w:p>
    <w:p w14:paraId="3181C65F" w14:textId="2991E5DF" w:rsidR="00C45089" w:rsidRDefault="00120FE2" w:rsidP="00C45089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Create two more LUNs provisioned for use by the ESXi cluster, and initialize them for use with VMFS</w:t>
      </w:r>
      <w:r w:rsidR="00C45089">
        <w:rPr>
          <w:sz w:val="24"/>
          <w:szCs w:val="24"/>
        </w:rPr>
        <w:t>.</w:t>
      </w:r>
    </w:p>
    <w:p w14:paraId="2BFD35CE" w14:textId="389F7644" w:rsidR="00C45089" w:rsidRDefault="00120FE2" w:rsidP="00C45089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Screen shot of the three datastores with the correct naming convention</w:t>
      </w:r>
      <w:r w:rsidR="005A440E">
        <w:rPr>
          <w:sz w:val="24"/>
          <w:szCs w:val="24"/>
        </w:rPr>
        <w:t>.</w:t>
      </w:r>
    </w:p>
    <w:p w14:paraId="208B8A89" w14:textId="08F865D0" w:rsidR="005A440E" w:rsidRPr="005A440E" w:rsidRDefault="005A440E" w:rsidP="005A440E">
      <w:pPr>
        <w:spacing w:after="120" w:line="360" w:lineRule="auto"/>
        <w:rPr>
          <w:color w:val="2F5496" w:themeColor="accent1" w:themeShade="BF"/>
          <w:sz w:val="32"/>
          <w:szCs w:val="32"/>
        </w:rPr>
      </w:pPr>
      <w:r w:rsidRPr="005A440E">
        <w:rPr>
          <w:color w:val="2F5496" w:themeColor="accent1" w:themeShade="BF"/>
          <w:sz w:val="32"/>
          <w:szCs w:val="32"/>
        </w:rPr>
        <w:t xml:space="preserve">Part </w:t>
      </w:r>
      <w:r w:rsidR="00434D96">
        <w:rPr>
          <w:color w:val="2F5496" w:themeColor="accent1" w:themeShade="BF"/>
          <w:sz w:val="32"/>
          <w:szCs w:val="32"/>
        </w:rPr>
        <w:t>B</w:t>
      </w:r>
      <w:r w:rsidRPr="005A440E">
        <w:rPr>
          <w:color w:val="2F5496" w:themeColor="accent1" w:themeShade="BF"/>
          <w:sz w:val="32"/>
          <w:szCs w:val="32"/>
        </w:rPr>
        <w:t xml:space="preserve"> – </w:t>
      </w:r>
      <w:r w:rsidR="00120FE2">
        <w:rPr>
          <w:color w:val="2F5496" w:themeColor="accent1" w:themeShade="BF"/>
          <w:sz w:val="32"/>
          <w:szCs w:val="32"/>
        </w:rPr>
        <w:t>Lab 5 – VM creation</w:t>
      </w:r>
    </w:p>
    <w:p w14:paraId="654BA837" w14:textId="316E380E" w:rsidR="005A440E" w:rsidRPr="00120FE2" w:rsidRDefault="00120FE2" w:rsidP="005A440E">
      <w:pPr>
        <w:pStyle w:val="ListParagraph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Create a folder to store ISO files in, and provide a screen shot of the uploaded CentOS image.</w:t>
      </w:r>
    </w:p>
    <w:p w14:paraId="7823B599" w14:textId="0683A5DF" w:rsidR="005A440E" w:rsidRDefault="00120FE2" w:rsidP="005A440E">
      <w:pPr>
        <w:pStyle w:val="ListParagraph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Build out the web server.</w:t>
      </w:r>
    </w:p>
    <w:p w14:paraId="3447B9A8" w14:textId="4F8398A4" w:rsidR="00120FE2" w:rsidRPr="005A440E" w:rsidRDefault="00120FE2" w:rsidP="005A440E">
      <w:pPr>
        <w:pStyle w:val="ListParagraph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Build out the database server.</w:t>
      </w:r>
    </w:p>
    <w:p w14:paraId="3C546CDE" w14:textId="037F0AC5" w:rsidR="00434D96" w:rsidRDefault="00434D96">
      <w:pPr>
        <w:rPr>
          <w:sz w:val="24"/>
          <w:szCs w:val="24"/>
        </w:rPr>
      </w:pPr>
    </w:p>
    <w:p w14:paraId="24525934" w14:textId="77777777" w:rsidR="00120FE2" w:rsidRDefault="00120FE2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br w:type="page"/>
      </w:r>
    </w:p>
    <w:p w14:paraId="15E9A6A9" w14:textId="3F9A7A4B" w:rsidR="00434D96" w:rsidRPr="00434D96" w:rsidRDefault="00434D96" w:rsidP="00434D96">
      <w:pPr>
        <w:spacing w:after="120" w:line="360" w:lineRule="auto"/>
        <w:rPr>
          <w:color w:val="2F5496" w:themeColor="accent1" w:themeShade="BF"/>
          <w:sz w:val="32"/>
          <w:szCs w:val="32"/>
        </w:rPr>
      </w:pPr>
      <w:r w:rsidRPr="00434D96">
        <w:rPr>
          <w:color w:val="2F5496" w:themeColor="accent1" w:themeShade="BF"/>
          <w:sz w:val="32"/>
          <w:szCs w:val="32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662"/>
        <w:gridCol w:w="1133"/>
      </w:tblGrid>
      <w:tr w:rsidR="00434D96" w14:paraId="632AA68D" w14:textId="77777777" w:rsidTr="00434D96">
        <w:tc>
          <w:tcPr>
            <w:tcW w:w="1555" w:type="dxa"/>
          </w:tcPr>
          <w:p w14:paraId="0481C8B5" w14:textId="0E1076B9" w:rsidR="00434D96" w:rsidRPr="00434D96" w:rsidRDefault="00434D96" w:rsidP="00434D96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434D96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6662" w:type="dxa"/>
          </w:tcPr>
          <w:p w14:paraId="01FD6DF9" w14:textId="7FD56055" w:rsidR="00434D96" w:rsidRPr="00434D96" w:rsidRDefault="00434D96" w:rsidP="00434D96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434D96">
              <w:rPr>
                <w:b/>
                <w:bCs/>
                <w:sz w:val="24"/>
                <w:szCs w:val="24"/>
              </w:rPr>
              <w:t>Expectations</w:t>
            </w:r>
          </w:p>
        </w:tc>
        <w:tc>
          <w:tcPr>
            <w:tcW w:w="1133" w:type="dxa"/>
          </w:tcPr>
          <w:p w14:paraId="72708EFE" w14:textId="46B5B0C5" w:rsidR="00434D96" w:rsidRPr="00434D96" w:rsidRDefault="00434D96" w:rsidP="00434D96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434D96"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434D96" w14:paraId="39D863DD" w14:textId="77777777" w:rsidTr="00434D96">
        <w:tc>
          <w:tcPr>
            <w:tcW w:w="1555" w:type="dxa"/>
          </w:tcPr>
          <w:p w14:paraId="76445EF0" w14:textId="0A0FA750" w:rsidR="00434D96" w:rsidRPr="00434D96" w:rsidRDefault="00434D96" w:rsidP="00434D96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434D96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662" w:type="dxa"/>
          </w:tcPr>
          <w:p w14:paraId="37FB16B9" w14:textId="0F6239AD" w:rsidR="00434D96" w:rsidRPr="00434D96" w:rsidRDefault="008C071E" w:rsidP="00434D96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creation additional datastores</w:t>
            </w:r>
          </w:p>
        </w:tc>
        <w:tc>
          <w:tcPr>
            <w:tcW w:w="1133" w:type="dxa"/>
          </w:tcPr>
          <w:p w14:paraId="36A382A9" w14:textId="724C9EBC" w:rsidR="00434D96" w:rsidRDefault="008C071E" w:rsidP="00434D9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34D96" w14:paraId="66C3DF13" w14:textId="77777777" w:rsidTr="00434D96">
        <w:tc>
          <w:tcPr>
            <w:tcW w:w="1555" w:type="dxa"/>
          </w:tcPr>
          <w:p w14:paraId="3D7BE04A" w14:textId="159264C2" w:rsidR="00434D96" w:rsidRPr="00434D96" w:rsidRDefault="00434D96" w:rsidP="00434D96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434D96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662" w:type="dxa"/>
          </w:tcPr>
          <w:p w14:paraId="0269031F" w14:textId="77777777" w:rsidR="008C071E" w:rsidRDefault="008C071E" w:rsidP="00434D96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upload of ISO image file.</w:t>
            </w:r>
          </w:p>
          <w:p w14:paraId="3FE662E6" w14:textId="77777777" w:rsidR="008C071E" w:rsidRDefault="008C071E" w:rsidP="00434D96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creation of two new Linux servers.</w:t>
            </w:r>
          </w:p>
          <w:p w14:paraId="61238DC4" w14:textId="5AE2609B" w:rsidR="008C071E" w:rsidRDefault="008C071E" w:rsidP="00434D96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DNS adds of two new servers in your DNS configuration.</w:t>
            </w:r>
          </w:p>
          <w:p w14:paraId="545849E7" w14:textId="58F0241D" w:rsidR="00434D96" w:rsidRPr="00434D96" w:rsidRDefault="008C071E" w:rsidP="00434D96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that each server is on the production network and is reachable</w:t>
            </w:r>
            <w:r w:rsidR="0003575A">
              <w:rPr>
                <w:sz w:val="24"/>
                <w:szCs w:val="24"/>
              </w:rPr>
              <w:t>, by opening a CMD shell on your INFRA machine and ping each host by name, not IP address.</w:t>
            </w:r>
          </w:p>
        </w:tc>
        <w:tc>
          <w:tcPr>
            <w:tcW w:w="1133" w:type="dxa"/>
          </w:tcPr>
          <w:p w14:paraId="5A1806A5" w14:textId="47486037" w:rsidR="00434D96" w:rsidRDefault="008C071E" w:rsidP="00434D9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34D96" w14:paraId="5CE0719B" w14:textId="77777777" w:rsidTr="00434D96">
        <w:tc>
          <w:tcPr>
            <w:tcW w:w="1555" w:type="dxa"/>
          </w:tcPr>
          <w:p w14:paraId="1991614F" w14:textId="3B6BFBF5" w:rsidR="00434D96" w:rsidRPr="00F00318" w:rsidRDefault="00F00318" w:rsidP="00434D96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F00318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6662" w:type="dxa"/>
          </w:tcPr>
          <w:p w14:paraId="794EC227" w14:textId="77777777" w:rsidR="00434D96" w:rsidRDefault="00434D96" w:rsidP="00434D96">
            <w:pPr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5D7B43AF" w14:textId="4805C6FB" w:rsidR="00434D96" w:rsidRDefault="00434D96" w:rsidP="00434D9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7C46523B" w14:textId="77777777" w:rsidR="00434D96" w:rsidRPr="00434D96" w:rsidRDefault="00434D96" w:rsidP="00434D96">
      <w:pPr>
        <w:spacing w:after="120" w:line="360" w:lineRule="auto"/>
        <w:rPr>
          <w:sz w:val="24"/>
          <w:szCs w:val="24"/>
        </w:rPr>
      </w:pPr>
    </w:p>
    <w:sectPr w:rsidR="00434D96" w:rsidRPr="00434D9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DBB3" w14:textId="77777777" w:rsidR="009060AC" w:rsidRDefault="009060AC" w:rsidP="00EA4738">
      <w:pPr>
        <w:spacing w:after="0" w:line="240" w:lineRule="auto"/>
      </w:pPr>
      <w:r>
        <w:separator/>
      </w:r>
    </w:p>
  </w:endnote>
  <w:endnote w:type="continuationSeparator" w:id="0">
    <w:p w14:paraId="32D63050" w14:textId="77777777" w:rsidR="009060AC" w:rsidRDefault="009060AC" w:rsidP="00EA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66C7" w14:textId="4B238775" w:rsidR="00EA4738" w:rsidRDefault="00EA4738">
    <w:pPr>
      <w:pStyle w:val="Footer"/>
    </w:pPr>
    <w:r>
      <w:t>SYST8111 – Server Virtualization 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B1EC" w14:textId="77777777" w:rsidR="009060AC" w:rsidRDefault="009060AC" w:rsidP="00EA4738">
      <w:pPr>
        <w:spacing w:after="0" w:line="240" w:lineRule="auto"/>
      </w:pPr>
      <w:r>
        <w:separator/>
      </w:r>
    </w:p>
  </w:footnote>
  <w:footnote w:type="continuationSeparator" w:id="0">
    <w:p w14:paraId="28927410" w14:textId="77777777" w:rsidR="009060AC" w:rsidRDefault="009060AC" w:rsidP="00EA4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2DF9" w14:textId="0AAF64D3" w:rsidR="00EA4738" w:rsidRDefault="00EA4738">
    <w:pPr>
      <w:pStyle w:val="Header"/>
    </w:pPr>
    <w:r>
      <w:t>SYST8111 – Server Virtualization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569"/>
    <w:multiLevelType w:val="hybridMultilevel"/>
    <w:tmpl w:val="A8100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35F"/>
    <w:multiLevelType w:val="hybridMultilevel"/>
    <w:tmpl w:val="FB4E7D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0616"/>
    <w:multiLevelType w:val="hybridMultilevel"/>
    <w:tmpl w:val="5DD42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462D"/>
    <w:multiLevelType w:val="hybridMultilevel"/>
    <w:tmpl w:val="FD8A6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73B68"/>
    <w:multiLevelType w:val="hybridMultilevel"/>
    <w:tmpl w:val="934E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45D6"/>
    <w:multiLevelType w:val="hybridMultilevel"/>
    <w:tmpl w:val="C9D20B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1A7A"/>
    <w:multiLevelType w:val="hybridMultilevel"/>
    <w:tmpl w:val="CEFC2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4C33"/>
    <w:multiLevelType w:val="hybridMultilevel"/>
    <w:tmpl w:val="35485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9060C"/>
    <w:multiLevelType w:val="hybridMultilevel"/>
    <w:tmpl w:val="C9D20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490">
    <w:abstractNumId w:val="2"/>
  </w:num>
  <w:num w:numId="2" w16cid:durableId="562836703">
    <w:abstractNumId w:val="1"/>
  </w:num>
  <w:num w:numId="3" w16cid:durableId="1846477992">
    <w:abstractNumId w:val="8"/>
  </w:num>
  <w:num w:numId="4" w16cid:durableId="39088424">
    <w:abstractNumId w:val="7"/>
  </w:num>
  <w:num w:numId="5" w16cid:durableId="1934825961">
    <w:abstractNumId w:val="6"/>
  </w:num>
  <w:num w:numId="6" w16cid:durableId="1425105892">
    <w:abstractNumId w:val="0"/>
  </w:num>
  <w:num w:numId="7" w16cid:durableId="881744151">
    <w:abstractNumId w:val="4"/>
  </w:num>
  <w:num w:numId="8" w16cid:durableId="1629702361">
    <w:abstractNumId w:val="5"/>
  </w:num>
  <w:num w:numId="9" w16cid:durableId="1026325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8"/>
    <w:rsid w:val="0003575A"/>
    <w:rsid w:val="00120FE2"/>
    <w:rsid w:val="001877AF"/>
    <w:rsid w:val="00361A95"/>
    <w:rsid w:val="003B0104"/>
    <w:rsid w:val="00434D96"/>
    <w:rsid w:val="00531048"/>
    <w:rsid w:val="005A440E"/>
    <w:rsid w:val="008C071E"/>
    <w:rsid w:val="009060AC"/>
    <w:rsid w:val="00B202B3"/>
    <w:rsid w:val="00C45089"/>
    <w:rsid w:val="00EA4738"/>
    <w:rsid w:val="00F0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C0DB"/>
  <w15:chartTrackingRefBased/>
  <w15:docId w15:val="{E86FFD82-ED91-4109-B18A-855DDC59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38"/>
  </w:style>
  <w:style w:type="paragraph" w:styleId="Footer">
    <w:name w:val="footer"/>
    <w:basedOn w:val="Normal"/>
    <w:link w:val="FooterChar"/>
    <w:uiPriority w:val="99"/>
    <w:unhideWhenUsed/>
    <w:rsid w:val="00EA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38"/>
  </w:style>
  <w:style w:type="paragraph" w:styleId="ListParagraph">
    <w:name w:val="List Paragraph"/>
    <w:basedOn w:val="Normal"/>
    <w:uiPriority w:val="34"/>
    <w:qFormat/>
    <w:rsid w:val="00EA4738"/>
    <w:pPr>
      <w:ind w:left="720"/>
      <w:contextualSpacing/>
    </w:pPr>
  </w:style>
  <w:style w:type="table" w:styleId="TableGrid">
    <w:name w:val="Table Grid"/>
    <w:basedOn w:val="TableNormal"/>
    <w:uiPriority w:val="39"/>
    <w:rsid w:val="005A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Gignac, Andre</dc:creator>
  <cp:keywords/>
  <dc:description/>
  <cp:lastModifiedBy>Andre Gignac</cp:lastModifiedBy>
  <cp:revision>4</cp:revision>
  <dcterms:created xsi:type="dcterms:W3CDTF">2023-10-29T16:52:00Z</dcterms:created>
  <dcterms:modified xsi:type="dcterms:W3CDTF">2023-10-29T19:31:00Z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2023-09-13T16:35:16Z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7f7f6893-5dc7-4eb1-8c11-4c78ff14797f</vt:lpwstr>
  </property>
  <property fmtid="{D5CDD505-2E9C-101B-9397-08002B2CF9AE}" pid="8" name="MSIP_Label_b07bbe84-2447-47ed-9f95-d9c34bc076ba_ContentBits">
    <vt:lpwstr>0</vt:lpwstr>
  </property>
</Properties>
</file>