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2023全国两会政府工作报告知识点学习企业纾困</w:t>
      </w:r>
    </w:p>
    <w:p>
      <w:r>
        <w:rPr>
          <w:rFonts w:ascii="仿宋" w:hAnsi="仿宋"/>
          <w:sz w:val="32"/>
        </w:rPr>
        <w:br/>
        <w:t>针对企业生产经营困难加剧，加大纾困支持力度。受疫情等因素冲击，不少企业和个体工商户遇到特殊困难。全年增值税留抵退税超过2.4万亿元，新增减税降费超过1万亿元，缓税缓费7500多亿元。为有力支持减税降费政策落实，中央对地方转移支付大幅增加。引导金融机构增加信贷投放，降低融资成本，新发放企业贷款平均利率降至有统计以来最低水平，对受疫情影响严重的中小微企业、个体工商户和餐饮、旅游、货运等实施阶段性贷款延期还本付息，对普惠小微贷款阶段性减息。用改革办法激发市场活力。量大面广的中小微企业和个体工商户普遍受益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