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2023全国两会政府工作报告知识点学习多种所有制经济共同发展</w:t>
      </w:r>
    </w:p>
    <w:p>
      <w:r>
        <w:rPr>
          <w:rFonts w:ascii="仿宋" w:hAnsi="仿宋"/>
          <w:sz w:val="32"/>
        </w:rPr>
        <w:br/>
        <w:t>促进多种所有制经济共同发展。坚持和完善社会主义基本经济制度，坚持“两个毫不动摇”。完成国企改革三年行动任务，健全现代企业制度，推动国企聚焦主责主业优化重组、提质增效。促进民营企业健康发展，破除各种隐性壁垒，一视同仁给予政策支持，提振民间投资信心。完善产权保护制度，保护企业家合法权益，弘扬企业家精神。</w:t>
        <w:br/>
        <w:t xml:space="preserve"> 2024省考推荐》》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