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2023全国两会政府工作报告知识点学习强化就业优先政策导向</w:t>
      </w:r>
    </w:p>
    <w:p>
      <w:r>
        <w:rPr>
          <w:rFonts w:ascii="仿宋" w:hAnsi="仿宋"/>
          <w:sz w:val="32"/>
        </w:rPr>
        <w:br/>
        <w:t>强化就业优先政策导向。把稳就业作为经济运行在合理区间的关键指标。着力促进市场化社会化就业，加大对企业稳岗扩岗支持力度。将养老保险单位缴费比例从20%降至16%，同时充实全国社保基金，储备规模从1.8万亿元增加到2.5万亿元以上。实施失业保险基金稳岗返还、留工培训补助等政策。持续推进大众创业万众创新，连续举办8届全国双创活动周、超过5.2亿人次参与，鼓励以创业带动就业，加强劳动者权益保护，新就业形态和灵活就业成为就业增收的重要渠道。做好高校毕业生、退役军人、农民工等群体就业工作。使用失业保险基金等资金支持技能培训。实施高职扩招和职业技能提升三年行动，累计扩招413万人、培训8300多万人次。就业是民生之基、财富之源。14亿多人口大国保持就业稳定，难能可贵，蕴含着巨大创造力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