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2023全国两会政府工作报告知识点学习持续推进政府职能转变</w:t>
      </w:r>
    </w:p>
    <w:p>
      <w:r>
        <w:rPr>
          <w:rFonts w:ascii="仿宋" w:hAnsi="仿宋"/>
          <w:sz w:val="32"/>
        </w:rPr>
        <w:br/>
        <w:t>持续推进政府职能转变。完成国务院及地方政府机构改革。加快建设全国统一大市场，建设高标准市场体系，营造市场化法治化国际化营商环境。大道至简，政简易行。持之以恒推进触动政府自身利益的改革。进一步简政放权，放宽市场准入，全面实施市场准入负面清单制度，清单管理措施比制度建立之初压减64%，将行政许可事项全部纳入清单管理。多年来取消和下放行政许可事项1000多项，中央政府层面核准投资项目压减90%以上，工业产品生产许可证从60类减少到10类，工程建设项目全流程审批时间压缩到不超过120个工作日。改革商事制度，推行“证照分离”改革，企业开办时间从一个月以上压缩到目前的平均4个工作日以内，实行中小微企业简易注销制度。坚持放管结合，加强事中事后监管，严格落实监管责任，防止监管缺位、重放轻管，强化食品药品等重点领域质量和安全监管，推行“双随机、一公开”等方式加强公正监管，规范行使行政裁量权。加强反垄断和反不正当竞争，全面落实公平竞争审查制度，改革反垄断执法体制。依法规范和引导资本健康发展，依法坚决管控资本无序扩张。不断优化服务，推进政务服务集成办理，压减各类证明事项，加快数字政府建设，90%以上的政务服务实现网上可办，户籍证明、社保转接等200多项群众经常办理事项实现跨省通办。取消所有省界高速公路收费站。制定实施优化营商环境、市场主体登记管理、促进个体工商户发展、保障中小企业款项支付等条例。改革给人们经商办企业更多便利和空间，去年底企业数量超过5200万户、个体工商户超过1.1亿户，市场主体总量超过1.6亿户、是十年前的3倍，发展内生动力明显增强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