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2023全国两会政府工作报告知识点学习2022成果</w:t>
      </w:r>
    </w:p>
    <w:p>
      <w:r>
        <w:rPr>
          <w:rFonts w:ascii="仿宋" w:hAnsi="仿宋"/>
          <w:sz w:val="32"/>
        </w:rPr>
        <w:br/>
        <w:t>全年国内生产总值增长3%，城镇新增就业1206万人，年末城镇调查失业率降到5.5%，居民消费价格上涨2%。货物进出口总额增长7.7%。财政赤字率控制在2.8%，中央财政收支符合预算、支出略有结余。国际收支保持平衡，人民币汇率在全球主要货币中表现相对稳健。粮食产量1.37万亿斤，增产74亿斤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