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2024山西公务员考试申论指点：弄清题干所问 让所答即所问进入阅读模式</w:t>
      </w:r>
    </w:p>
    <w:p>
      <w:r>
        <w:rPr>
          <w:rFonts w:ascii="仿宋" w:hAnsi="仿宋"/>
          <w:sz w:val="24"/>
        </w:rPr>
        <w:t>[</w:t>
        <w:br/>
        <w:t>申论，从字面上剖析，“申”可以理解成申述、申辩、申明，“论”则是议论、论说、论证。因此，回归到考场上，所谓申论就是对给定资料和特定话题引申开来、展开议论的一种文体。而“特定话题”应来自“作答要求”。所以，考生若想获得高分，那么把握“作答要求”是重中之重。</w:t>
        <w:br/>
        <w:t>历年试卷中，“作答要求”通常由颜色加粗的题干和具体要求共同组成，这两个板块主要传达两方面信息，一是“答什么”，二是“作答有何要求”。今天中公教育就来探讨如何解决这两个核心问题。</w:t>
        <w:br/>
        <w:t>一、走好审题第一步：明确答什么</w:t>
        <w:br/>
        <w:t>往往，题干所给内容会相对冗长、表述相对复杂，若不明确“答什么”，读材料时会越读越模糊，甚至迷失找点方向。所以，一定要弄清题干所给任务，具体而言，既要通过审题知道“答什么”，也要力求将抽象问法明确化。</w:t>
        <w:br/>
        <w:t>例1：“给定资料2”反映了乡干部小雷在窦家梁村易地扶贫搬迁过程中遇到的一些问题，请你谈谈他是如何解决这些问题的。</w:t>
        <w:br/>
        <w:t>明确答什么：</w:t>
        <w:br/>
        <w:t>1.答什么：谈谈他是如何解决这些问题的;</w:t>
        <w:br/>
        <w:t>2.明确化：小雷解决易地扶贫搬迁问题的做法。</w:t>
        <w:br/>
        <w:t>总结：此题并非让考生提建议，而是归纳小雷相关做法。</w:t>
        <w:br/>
        <w:t>例2：根据“给定资料1”，请你谈谈老马是怎样“当好基层这根"绣花针"的”。</w:t>
        <w:br/>
        <w:t>明确答什么：</w:t>
        <w:br/>
        <w:t>1.答什么：老马怎样“当好基层这根"绣花针"的”;</w:t>
        <w:br/>
        <w:t>2.明确化：老马在基层中“好”的表现。</w:t>
        <w:br/>
        <w:t>总结：此题重在总结老马“好”的表现，而“绣花针”只是修饰词，强调老马坚持在基层为群众提供服务。</w:t>
        <w:br/>
        <w:t>二、走好审题第二步：明确作答有何特殊要求</w:t>
        <w:br/>
        <w:t>在明确“答什么”的基础之上，还要充分重视题干所给的要求，特别是一些特殊要求。只有这样，答案呈现才能显规范。因此，审题应关注一些少见的特殊要求，弄清含义。</w:t>
        <w:br/>
        <w:t>例：某美术馆正在策划艺术家黎明的作品展，请根据“给定资料4”，为这一作品展撰写一则导言(20分)。</w:t>
        <w:br/>
        <w:t>要求：(1)围绕黎明的创作宗旨、作品材质及其艺术追求等方面作答;(2)内容具体、层次分明、语言流畅;(3)不超过400字。</w:t>
        <w:br/>
        <w:t>明确作答有何特殊要求：</w:t>
        <w:br/>
        <w:t>1.围绕黎明的创作宗旨、作品材质及其艺术追求等方面作答：正文的部分至少分为“创作宗旨、作品材质及其艺术追求”等三个方面;</w:t>
        <w:br/>
        <w:t>2.语言流畅：应连贯成句，使用适当的连接词保证流畅性。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