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F5A623"/>
          <w:sz w:val="22"/>
          <w:szCs w:val="22"/>
        </w:rPr>
        <w:t xml:space="preserve">CreatorOS</w:t>
      </w:r>
    </w:p>
    <w:p>
      <w:pPr>
        <w:pStyle w:val="Title"/>
        <w:spacing w:after="100"/>
      </w:pPr>
      <w:r>
        <w:t xml:space="preserve">Conversion &amp; Retention Email Marketing Plan</w:t>
      </w:r>
    </w:p>
    <w:p>
      <w:pPr>
        <w:spacing w:after="400"/>
      </w:pPr>
      <w:r>
        <w:rPr>
          <w:i/>
          <w:iCs/>
          <w:color w:val="555555"/>
        </w:rPr>
        <w:t xml:space="preserve">Using Resend to grow revenue from free-plan users and reduce non-renewal — draft for discussion, nothing in this plan has been built yet. Prepared July 29, 2026.</w:t>
      </w:r>
    </w:p>
    <w:p>
      <w:pPr>
        <w:pStyle w:val="Heading1"/>
        <w:spacing w:after="200" w:before="400"/>
      </w:pPr>
      <w:r>
        <w:t xml:space="preserve">1. Executive Summary</w:t>
      </w:r>
    </w:p>
    <w:p>
      <w:pPr>
        <w:spacing w:after="160"/>
      </w:pPr>
      <w:r>
        <w:t xml:space="preserve">The goal is simple: turn more free CreatorOS users into paying users, and stop as many paying users as possible from quietly not renewing. Email is the lever, Resend is the tool already wired into the app, and this document lays out exactly what to send, when, to whom, and how to build it.</w:t>
      </w:r>
    </w:p>
    <w:p>
      <w:pPr>
        <w:spacing w:after="160"/>
      </w:pPr>
      <w:r>
        <w:t xml:space="preserve">The short version of the plan: there are two campaigns, not one. Campaign A (free → paid conversion) can start now, because the data it needs already exists in the app. Campaign B (renewal / win-back for paying users) cannot start yet, because CreatorOS has no billing system at all today — there is no way to know who is "on a paid plan" or whether they are "planning to renew," because no one has ever paid. That is not a small caveat; it is the single biggest thing this plan needs you to decide on before any win-back email gets written.</w:t>
      </w:r>
    </w:p>
    <w:p>
      <w:pPr>
        <w:spacing w:after="160"/>
      </w:pPr>
      <w:r>
        <w:t xml:space="preserve">Everything below is organized so you can read the Reality Check section, make one decision (build billing now vs. later), and then the rest of the plan tells you exactly what ships in what order.</w:t>
      </w:r>
    </w:p>
    <w:p>
      <w:pPr>
        <w:pStyle w:val="Heading1"/>
        <w:spacing w:after="200" w:before="400"/>
      </w:pPr>
      <w:r>
        <w:t xml:space="preserve">2. Reality Check — What Exists Today vs. What The Ask Assumes</w:t>
      </w:r>
    </w:p>
    <w:tbl>
      <w:tblPr>
        <w:tblW w:type="dxa" w:w="9350"/>
        <w:tblBorders>
          <w:top w:val="single" w:color="F5A623" w:sz="4"/>
          <w:left w:val="single" w:color="F5A623" w:sz="4"/>
          <w:bottom w:val="single" w:color="F5A623" w:sz="4"/>
          <w:right w:val="single" w:color="F5A623" w:sz="4"/>
          <w:insideH w:val="none" w:color="FFFFFF" w:sz="0"/>
          <w:insideV w:val="none" w:color="FFFFFF" w:sz="0"/>
        </w:tblBorders>
      </w:tblPr>
      <w:tblGrid>
        <w:gridCol w:w="9350"/>
      </w:tblGrid>
      <w:tr>
        <w:tc>
          <w:tcPr>
            <w:tcW w:type="dxa" w:w="9350"/>
            <w:shd w:fill="FFF6E5" w:color="auto" w:val="clear"/>
            <w:tcMar>
              <w:top w:type="dxa" w:w="160"/>
              <w:left w:type="dxa" w:w="200"/>
              <w:bottom w:type="dxa" w:w="160"/>
              <w:right w:type="dxa" w:w="200"/>
            </w:tcMar>
          </w:tcPr>
          <w:p>
            <w:pPr>
              <w:spacing w:after="80"/>
            </w:pPr>
            <w:r>
              <w:rPr>
                <w:b/>
                <w:bCs/>
                <w:color w:val="0E1116"/>
              </w:rPr>
              <w:t xml:space="preserve">The core finding from this research pass:</w:t>
            </w:r>
          </w:p>
          <w:p>
            <w:pPr>
              <w:spacing w:after="40"/>
            </w:pPr>
            <w:r>
              <w:rPr>
                <w:color w:val="333333"/>
              </w:rPr>
              <w:t xml:space="preserve">CreatorOS has zero billing infrastructure right now. No Stripe (or any payment processor), no pricing page, no checkout flow, and no database field that records who is paying, what they're paying, or when their subscription renews.</w:t>
            </w:r>
          </w:p>
          <w:p>
            <w:pPr>
              <w:spacing w:after="40"/>
            </w:pPr>
            <w:r>
              <w:rPr>
                <w:color w:val="333333"/>
              </w:rPr>
              <w:t xml:space="preserve">The only plan-related field that exists is Workspace.plan, a text column that defaults to "free" for every single workspace — nothing in the app ever sets it to anything else. Every user in the system is, technically, "free," including any early adopters you might think of as customers.</w:t>
            </w:r>
          </w:p>
          <w:p>
            <w:pPr>
              <w:spacing w:after="40"/>
            </w:pPr>
            <w:r>
              <w:rPr>
                <w:color w:val="333333"/>
              </w:rPr>
              <w:t xml:space="preserve">This means the "paid plans that aren't planning to renew" segment you described doesn't exist in the data yet — there's no renewal date, no cancellation flag, no payment status to query.</w:t>
            </w:r>
          </w:p>
        </w:tc>
      </w:tr>
    </w:tbl>
    <w:p>
      <w:pPr>
        <w:spacing w:after="160"/>
      </w:pPr>
      <w:r>
        <w:t xml:space="preserve"/>
      </w:r>
    </w:p>
    <w:p>
      <w:pPr>
        <w:spacing w:after="160"/>
      </w:pPr>
      <w:r>
        <w:t xml:space="preserve">This isn't a reason to shelve the idea — it's the reason the plan below is split into two tracks that can move at different speeds. Track A doesn't need billing and can ship first. Track B is fully planned out below so it's ready the moment billing exists, but it needs that piece built first (either by you adding Stripe, or by us building it as a follow-on project — your call, not made here).</w:t>
      </w:r>
    </w:p>
    <w:p>
      <w:pPr>
        <w:pStyle w:val="Heading1"/>
        <w:spacing w:after="200" w:before="400"/>
      </w:pPr>
      <w:r>
        <w:t xml:space="preserve">3. What's Already Built (the foundation this plan reuses)</w:t>
      </w:r>
    </w:p>
    <w:p>
      <w:pPr>
        <w:spacing w:after="160"/>
      </w:pPr>
      <w:r>
        <w:t xml:space="preserve">Good news: a real amount of the plumbing already exists. Nothing here needs to be invented from scratch.</w:t>
      </w:r>
    </w:p>
    <w:p>
      <w:pPr>
        <w:pStyle w:val="ListParagraph"/>
        <w:numPr>
          <w:ilvl w:val="0"/>
          <w:numId w:val="1"/>
        </w:numPr>
        <w:spacing w:after="100"/>
      </w:pPr>
      <w:r>
        <w:t xml:space="preserve">Resend is already sending real transactional email — signup verification and password reset both go through src/lib/email.ts, from noreply@creatoros.onl on the now-verified domain.</w:t>
      </w:r>
    </w:p>
    <w:p>
      <w:pPr>
        <w:pStyle w:val="ListParagraph"/>
        <w:numPr>
          <w:ilvl w:val="0"/>
          <w:numId w:val="1"/>
        </w:numPr>
        <w:spacing w:after="100"/>
      </w:pPr>
      <w:r>
        <w:t xml:space="preserve">Every new signup is already synced into a Resend Audience (src/lib/resend-audience.ts) with a "plan" custom property attached, specifically so broadcasts can be segmented by plan later — this was built with this exact use case in mind.</w:t>
      </w:r>
    </w:p>
    <w:p>
      <w:pPr>
        <w:pStyle w:val="ListParagraph"/>
        <w:numPr>
          <w:ilvl w:val="0"/>
          <w:numId w:val="1"/>
        </w:numPr>
        <w:spacing w:after="100"/>
      </w:pPr>
      <w:r>
        <w:t xml:space="preserve">Workspace.plan exists in the database and defaults to "free," ready to hold real values once there's a reason to set them to something else.</w:t>
      </w:r>
    </w:p>
    <w:p>
      <w:pPr>
        <w:pStyle w:val="ListParagraph"/>
        <w:numPr>
          <w:ilvl w:val="0"/>
          <w:numId w:val="1"/>
        </w:numPr>
        <w:spacing w:after="100"/>
      </w:pPr>
      <w:r>
        <w:t xml:space="preserve">Inngest (a background-job / scheduling service) is already an installed dependency with API keys configured — it's the right tool for "wait 3 days, then check if they've done X, then send an email" style logic, and it's sitting there unused, ready to wire up.</w:t>
      </w:r>
    </w:p>
    <w:p>
      <w:pPr>
        <w:spacing w:after="160"/>
      </w:pPr>
      <w:r>
        <w:t xml:space="preserve">One thing found during this research that needs a fix before any bulk sending happens:</w:t>
      </w:r>
    </w:p>
    <w:tbl>
      <w:tblPr>
        <w:tblW w:type="dxa" w:w="9350"/>
        <w:tblBorders>
          <w:top w:val="single" w:color="F5A623" w:sz="4"/>
          <w:left w:val="single" w:color="F5A623" w:sz="4"/>
          <w:bottom w:val="single" w:color="F5A623" w:sz="4"/>
          <w:right w:val="single" w:color="F5A623" w:sz="4"/>
          <w:insideH w:val="none" w:color="FFFFFF" w:sz="0"/>
          <w:insideV w:val="none" w:color="FFFFFF" w:sz="0"/>
        </w:tblBorders>
      </w:tblPr>
      <w:tblGrid>
        <w:gridCol w:w="9350"/>
      </w:tblGrid>
      <w:tr>
        <w:tc>
          <w:tcPr>
            <w:tcW w:type="dxa" w:w="9350"/>
            <w:shd w:fill="FFF6E5" w:color="auto" w:val="clear"/>
            <w:tcMar>
              <w:top w:type="dxa" w:w="160"/>
              <w:left w:type="dxa" w:w="200"/>
              <w:bottom w:type="dxa" w:w="160"/>
              <w:right w:type="dxa" w:w="200"/>
            </w:tcMar>
          </w:tcPr>
          <w:p>
            <w:pPr>
              <w:spacing w:after="80"/>
            </w:pPr>
            <w:r>
              <w:rPr>
                <w:b/>
                <w:bCs/>
                <w:color w:val="0E1116"/>
              </w:rPr>
              <w:t xml:space="preserve">Bug found: contact sync is likely failing silently</w:t>
            </w:r>
          </w:p>
          <w:p>
            <w:pPr>
              <w:spacing w:after="40"/>
            </w:pPr>
            <w:r>
              <w:rPr>
                <w:color w:val="333333"/>
              </w:rPr>
              <w:t xml:space="preserve">resend-audience.ts posts new contacts directly to https://api.resend.com/contacts. Resend's real API requires the audience (segment) ID in the URL path: POST /audiences/{audience_id}/contacts. Without it, this call is likely erroring on every signup — and because the whole block is wrapped in a try/catch that only logs and never throws, nobody would notice.</w:t>
            </w:r>
          </w:p>
          <w:p>
            <w:pPr>
              <w:spacing w:after="40"/>
            </w:pPr>
            <w:r>
              <w:rPr>
                <w:color w:val="333333"/>
              </w:rPr>
              <w:t xml:space="preserve">Recommended fix: add a RESEND_AUDIENCE_ID env var (grab it from the Resend dashboard — Audiences tab) and include it in the request path. Small fix, but nothing in this plan works until contacts are actually landing in Resend.</w:t>
            </w:r>
          </w:p>
        </w:tc>
      </w:tr>
    </w:tbl>
    <w:p>
      <w:pPr>
        <w:pStyle w:val="Heading1"/>
        <w:spacing w:after="200" w:before="400"/>
      </w:pPr>
      <w:r>
        <w:t xml:space="preserve">4. The Two-Track Roadmap</w:t>
      </w:r>
    </w:p>
    <w:p>
      <w:pPr>
        <w:pStyle w:val="Heading2"/>
        <w:spacing w:after="150" w:before="300"/>
      </w:pPr>
      <w:r>
        <w:t xml:space="preserve">Track A — Free-to-Paid Conversion (buildable now)</w:t>
      </w:r>
    </w:p>
    <w:p>
      <w:pPr>
        <w:spacing w:after="160"/>
      </w:pPr>
      <w:r>
        <w:t xml:space="preserve">Targets every workspace on the free plan. Doesn't require billing to exist yet — the emails can point at a "join the waitlist" / "upgrade coming soon" CTA today, and swap to a real checkout link the moment pricing launches. Building the sequence now means it's ready to fire the day you flip on payments, instead of pricing launching with silence.</w:t>
      </w:r>
    </w:p>
    <w:p>
      <w:pPr>
        <w:pStyle w:val="Heading2"/>
        <w:spacing w:after="150" w:before="300"/>
      </w:pPr>
      <w:r>
        <w:t xml:space="preserve">Track B — Non-Renewal Win-Back (blocked on billing)</w:t>
      </w:r>
    </w:p>
    <w:p>
      <w:pPr>
        <w:spacing w:after="160"/>
      </w:pPr>
      <w:r>
        <w:t xml:space="preserve">Targets paying users who are at risk of not renewing. Needs, at minimum: a real subscription record (who's paying, how much, what plan, current period end date) and a cancellation/renewal-intent signal (did they cancel in Stripe's portal, did a card fail, are they on a plan set to expire). None of that exists yet. This track is fully planned below so it's ready to execute — but Phase B0 (billing) has to happen first, by definition.</w:t>
      </w:r>
    </w:p>
    <w:p>
      <w:pPr>
        <w:pStyle w:val="Heading1"/>
        <w:spacing w:after="200" w:before="400"/>
      </w:pPr>
      <w:r>
        <w:t xml:space="preserve">5. Track A — Detailed Build Plan</w:t>
      </w:r>
    </w:p>
    <w:p>
      <w:pPr>
        <w:pStyle w:val="Heading2"/>
        <w:spacing w:after="150" w:before="300"/>
      </w:pPr>
      <w:r>
        <w:t xml:space="preserve">Phase A0 — Fix the foundation (do first, ~half a day)</w:t>
      </w:r>
    </w:p>
    <w:p>
      <w:pPr>
        <w:pStyle w:val="ListParagraph"/>
        <w:numPr>
          <w:ilvl w:val="0"/>
          <w:numId w:val="1"/>
        </w:numPr>
        <w:spacing w:after="100"/>
      </w:pPr>
      <w:r>
        <w:t xml:space="preserve">Fix the missing audience_id bug in resend-audience.ts (above) so contacts actually land in Resend.</w:t>
      </w:r>
    </w:p>
    <w:p>
      <w:pPr>
        <w:pStyle w:val="ListParagraph"/>
        <w:numPr>
          <w:ilvl w:val="0"/>
          <w:numId w:val="1"/>
        </w:numPr>
        <w:spacing w:after="100"/>
      </w:pPr>
      <w:r>
        <w:t xml:space="preserve">In Resend's dashboard, create custom contact properties: plan (already sent), signupDate, channelConnected (boolean — have they connected YouTube), lastActiveAt. These are what segmentation in Phase A2 will filter on.</w:t>
      </w:r>
    </w:p>
    <w:p>
      <w:pPr>
        <w:pStyle w:val="ListParagraph"/>
        <w:numPr>
          <w:ilvl w:val="0"/>
          <w:numId w:val="1"/>
        </w:numPr>
        <w:spacing w:after="100"/>
      </w:pPr>
      <w:r>
        <w:t xml:space="preserve">Add a one-click unsubscribe link to every marketing (not transactional) email template — legally required, see Section 8, and Resend supports this natively via List-Unsubscribe headers.</w:t>
      </w:r>
    </w:p>
    <w:p>
      <w:pPr>
        <w:pStyle w:val="ListParagraph"/>
        <w:numPr>
          <w:ilvl w:val="0"/>
          <w:numId w:val="1"/>
        </w:numPr>
        <w:spacing w:after="100"/>
      </w:pPr>
      <w:r>
        <w:t xml:space="preserve">Decide on a "from" identity for marketing mail — research below shows a named human sender (e.g. "Ayaan from CreatorOS") gets meaningfully higher open/reply rates than a company-name sender for this kind of email.</w:t>
      </w:r>
    </w:p>
    <w:p>
      <w:pPr>
        <w:pStyle w:val="Heading2"/>
        <w:spacing w:after="150" w:before="300"/>
      </w:pPr>
      <w:r>
        <w:t xml:space="preserve">Phase A1 — Lifecycle activation sequence (behavior-triggered, not date-triggered)</w:t>
      </w:r>
    </w:p>
    <w:p>
      <w:pPr>
        <w:spacing w:after="160"/>
      </w:pPr>
      <w:r>
        <w:t xml:space="preserve">Research consistently shows behavior-triggered sequences ("they haven't done X yet") convert roughly 4x better than blind time-based ones ("it's been 3 days") — so this sequence branches on what the user has actually done in the app, using Inngest to watch for those events. Every email in this track is short (under ~150 words), plain-and-personal in tone rather than heavily designed, and has exactly one CTA.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50"/>
        <w:gridCol w:w="1900"/>
      </w:tblGrid>
      <w:tr>
        <w:trPr>
          <w:tblHeader/>
        </w:trPr>
        <w:tc>
          <w:tcPr>
            <w:tcW w:type="dxa" w:w="1600"/>
            <w:shd w:fill="0E1116" w:color="auto" w:val="clear"/>
            <w:tcMar>
              <w:top w:type="dxa" w:w="100"/>
              <w:left w:type="dxa" w:w="120"/>
              <w:bottom w:type="dxa" w:w="100"/>
              <w:right w:type="dxa" w:w="120"/>
            </w:tcMar>
          </w:tcPr>
          <w:p>
            <w:r>
              <w:rPr>
                <w:b/>
                <w:bCs/>
                <w:color w:val="FFFFFF"/>
                <w:sz w:val="19"/>
                <w:szCs w:val="19"/>
              </w:rPr>
              <w:t xml:space="preserve">Send Timing</w:t>
            </w:r>
          </w:p>
        </w:tc>
        <w:tc>
          <w:tcPr>
            <w:tcW w:type="dxa" w:w="3200"/>
            <w:shd w:fill="0E1116" w:color="auto" w:val="clear"/>
            <w:tcMar>
              <w:top w:type="dxa" w:w="100"/>
              <w:left w:type="dxa" w:w="120"/>
              <w:bottom w:type="dxa" w:w="100"/>
              <w:right w:type="dxa" w:w="120"/>
            </w:tcMar>
          </w:tcPr>
          <w:p>
            <w:r>
              <w:rPr>
                <w:b/>
                <w:bCs/>
                <w:color w:val="FFFFFF"/>
                <w:sz w:val="19"/>
                <w:szCs w:val="19"/>
              </w:rPr>
              <w:t xml:space="preserve">Subject Line</w:t>
            </w:r>
          </w:p>
        </w:tc>
        <w:tc>
          <w:tcPr>
            <w:tcW w:type="dxa" w:w="2650"/>
            <w:shd w:fill="0E1116" w:color="auto" w:val="clear"/>
            <w:tcMar>
              <w:top w:type="dxa" w:w="100"/>
              <w:left w:type="dxa" w:w="120"/>
              <w:bottom w:type="dxa" w:w="100"/>
              <w:right w:type="dxa" w:w="120"/>
            </w:tcMar>
          </w:tcPr>
          <w:p>
            <w:r>
              <w:rPr>
                <w:b/>
                <w:bCs/>
                <w:color w:val="FFFFFF"/>
                <w:sz w:val="19"/>
                <w:szCs w:val="19"/>
              </w:rPr>
              <w:t xml:space="preserve">Goal</w:t>
            </w:r>
          </w:p>
        </w:tc>
        <w:tc>
          <w:tcPr>
            <w:tcW w:type="dxa" w:w="1900"/>
            <w:shd w:fill="0E1116" w:color="auto" w:val="clear"/>
            <w:tcMar>
              <w:top w:type="dxa" w:w="100"/>
              <w:left w:type="dxa" w:w="120"/>
              <w:bottom w:type="dxa" w:w="100"/>
              <w:right w:type="dxa" w:w="120"/>
            </w:tcMar>
          </w:tcPr>
          <w:p>
            <w:r>
              <w:rPr>
                <w:b/>
                <w:bCs/>
                <w:color w:val="FFFFFF"/>
                <w:sz w:val="19"/>
                <w:szCs w:val="19"/>
              </w:rPr>
              <w:t xml:space="preserve">Primary CTA</w:t>
            </w:r>
          </w:p>
        </w:tc>
      </w:tr>
      <w:tr>
        <w:tc>
          <w:tcPr>
            <w:tcW w:type="dxa" w:w="1600"/>
            <w:tcMar>
              <w:top w:type="dxa" w:w="100"/>
              <w:left w:type="dxa" w:w="120"/>
              <w:bottom w:type="dxa" w:w="100"/>
              <w:right w:type="dxa" w:w="120"/>
            </w:tcMar>
          </w:tcPr>
          <w:p>
            <w:r>
              <w:rPr>
                <w:i w:val="false"/>
                <w:iCs w:val="false"/>
                <w:sz w:val="19"/>
                <w:szCs w:val="19"/>
              </w:rPr>
              <w:t xml:space="preserve">Immediately on signup</w:t>
            </w:r>
          </w:p>
        </w:tc>
        <w:tc>
          <w:tcPr>
            <w:tcW w:type="dxa" w:w="3200"/>
            <w:tcMar>
              <w:top w:type="dxa" w:w="100"/>
              <w:left w:type="dxa" w:w="120"/>
              <w:bottom w:type="dxa" w:w="100"/>
              <w:right w:type="dxa" w:w="120"/>
            </w:tcMar>
          </w:tcPr>
          <w:p>
            <w:r>
              <w:rPr>
                <w:i/>
                <w:iCs/>
                <w:sz w:val="19"/>
                <w:szCs w:val="19"/>
              </w:rPr>
              <w:t xml:space="preserve">Welcome to CreatorOS — here's your first move</w:t>
            </w:r>
          </w:p>
        </w:tc>
        <w:tc>
          <w:tcPr>
            <w:tcW w:type="dxa" w:w="2650"/>
            <w:tcMar>
              <w:top w:type="dxa" w:w="100"/>
              <w:left w:type="dxa" w:w="120"/>
              <w:bottom w:type="dxa" w:w="100"/>
              <w:right w:type="dxa" w:w="120"/>
            </w:tcMar>
          </w:tcPr>
          <w:p>
            <w:r>
              <w:rPr>
                <w:i w:val="false"/>
                <w:iCs w:val="false"/>
                <w:sz w:val="19"/>
                <w:szCs w:val="19"/>
              </w:rPr>
              <w:t xml:space="preserve">Get them to connect their YouTube channel (the single biggest activation blocker)</w:t>
            </w:r>
          </w:p>
        </w:tc>
        <w:tc>
          <w:tcPr>
            <w:tcW w:type="dxa" w:w="1900"/>
            <w:tcMar>
              <w:top w:type="dxa" w:w="100"/>
              <w:left w:type="dxa" w:w="120"/>
              <w:bottom w:type="dxa" w:w="100"/>
              <w:right w:type="dxa" w:w="120"/>
            </w:tcMar>
          </w:tcPr>
          <w:p>
            <w:r>
              <w:rPr>
                <w:i w:val="false"/>
                <w:iCs w:val="false"/>
                <w:sz w:val="19"/>
                <w:szCs w:val="19"/>
              </w:rPr>
              <w:t xml:space="preserve">Connect YouTube</w:t>
            </w:r>
          </w:p>
        </w:tc>
      </w:tr>
      <w:tr>
        <w:tc>
          <w:tcPr>
            <w:tcW w:type="dxa" w:w="1600"/>
            <w:tcMar>
              <w:top w:type="dxa" w:w="100"/>
              <w:left w:type="dxa" w:w="120"/>
              <w:bottom w:type="dxa" w:w="100"/>
              <w:right w:type="dxa" w:w="120"/>
            </w:tcMar>
          </w:tcPr>
          <w:p>
            <w:r>
              <w:rPr>
                <w:i w:val="false"/>
                <w:iCs w:val="false"/>
                <w:sz w:val="19"/>
                <w:szCs w:val="19"/>
              </w:rPr>
              <w:t xml:space="preserve">Day 1, only if channel still not connected</w:t>
            </w:r>
          </w:p>
        </w:tc>
        <w:tc>
          <w:tcPr>
            <w:tcW w:type="dxa" w:w="3200"/>
            <w:tcMar>
              <w:top w:type="dxa" w:w="100"/>
              <w:left w:type="dxa" w:w="120"/>
              <w:bottom w:type="dxa" w:w="100"/>
              <w:right w:type="dxa" w:w="120"/>
            </w:tcMar>
          </w:tcPr>
          <w:p>
            <w:r>
              <w:rPr>
                <w:i/>
                <w:iCs/>
                <w:sz w:val="19"/>
                <w:szCs w:val="19"/>
              </w:rPr>
              <w:t xml:space="preserve">Quick one — stuck on connecting your channel?</w:t>
            </w:r>
          </w:p>
        </w:tc>
        <w:tc>
          <w:tcPr>
            <w:tcW w:type="dxa" w:w="2650"/>
            <w:tcMar>
              <w:top w:type="dxa" w:w="100"/>
              <w:left w:type="dxa" w:w="120"/>
              <w:bottom w:type="dxa" w:w="100"/>
              <w:right w:type="dxa" w:w="120"/>
            </w:tcMar>
          </w:tcPr>
          <w:p>
            <w:r>
              <w:rPr>
                <w:i w:val="false"/>
                <w:iCs w:val="false"/>
                <w:sz w:val="19"/>
                <w:szCs w:val="19"/>
              </w:rPr>
              <w:t xml:space="preserve">Remove friction, offer help, personal tone</w:t>
            </w:r>
          </w:p>
        </w:tc>
        <w:tc>
          <w:tcPr>
            <w:tcW w:type="dxa" w:w="1900"/>
            <w:tcMar>
              <w:top w:type="dxa" w:w="100"/>
              <w:left w:type="dxa" w:w="120"/>
              <w:bottom w:type="dxa" w:w="100"/>
              <w:right w:type="dxa" w:w="120"/>
            </w:tcMar>
          </w:tcPr>
          <w:p>
            <w:r>
              <w:rPr>
                <w:i w:val="false"/>
                <w:iCs w:val="false"/>
                <w:sz w:val="19"/>
                <w:szCs w:val="19"/>
              </w:rPr>
              <w:t xml:space="preserve">Connect YouTube</w:t>
            </w:r>
          </w:p>
        </w:tc>
      </w:tr>
      <w:tr>
        <w:tc>
          <w:tcPr>
            <w:tcW w:type="dxa" w:w="1600"/>
            <w:tcMar>
              <w:top w:type="dxa" w:w="100"/>
              <w:left w:type="dxa" w:w="120"/>
              <w:bottom w:type="dxa" w:w="100"/>
              <w:right w:type="dxa" w:w="120"/>
            </w:tcMar>
          </w:tcPr>
          <w:p>
            <w:r>
              <w:rPr>
                <w:i w:val="false"/>
                <w:iCs w:val="false"/>
                <w:sz w:val="19"/>
                <w:szCs w:val="19"/>
              </w:rPr>
              <w:t xml:space="preserve">Day 3, only if channel connected but no idea/script created</w:t>
            </w:r>
          </w:p>
        </w:tc>
        <w:tc>
          <w:tcPr>
            <w:tcW w:type="dxa" w:w="3200"/>
            <w:tcMar>
              <w:top w:type="dxa" w:w="100"/>
              <w:left w:type="dxa" w:w="120"/>
              <w:bottom w:type="dxa" w:w="100"/>
              <w:right w:type="dxa" w:w="120"/>
            </w:tcMar>
          </w:tcPr>
          <w:p>
            <w:r>
              <w:rPr>
                <w:i/>
                <w:iCs/>
                <w:sz w:val="19"/>
                <w:szCs w:val="19"/>
              </w:rPr>
              <w:t xml:space="preserve">Your Health Score is live — want a script to go with it?</w:t>
            </w:r>
          </w:p>
        </w:tc>
        <w:tc>
          <w:tcPr>
            <w:tcW w:type="dxa" w:w="2650"/>
            <w:tcMar>
              <w:top w:type="dxa" w:w="100"/>
              <w:left w:type="dxa" w:w="120"/>
              <w:bottom w:type="dxa" w:w="100"/>
              <w:right w:type="dxa" w:w="120"/>
            </w:tcMar>
          </w:tcPr>
          <w:p>
            <w:r>
              <w:rPr>
                <w:i w:val="false"/>
                <w:iCs w:val="false"/>
                <w:sz w:val="19"/>
                <w:szCs w:val="19"/>
              </w:rPr>
              <w:t xml:space="preserve">Show real value already unlocked, push toward Idea Lab / Script Studio</w:t>
            </w:r>
          </w:p>
        </w:tc>
        <w:tc>
          <w:tcPr>
            <w:tcW w:type="dxa" w:w="1900"/>
            <w:tcMar>
              <w:top w:type="dxa" w:w="100"/>
              <w:left w:type="dxa" w:w="120"/>
              <w:bottom w:type="dxa" w:w="100"/>
              <w:right w:type="dxa" w:w="120"/>
            </w:tcMar>
          </w:tcPr>
          <w:p>
            <w:r>
              <w:rPr>
                <w:i w:val="false"/>
                <w:iCs w:val="false"/>
                <w:sz w:val="19"/>
                <w:szCs w:val="19"/>
              </w:rPr>
              <w:t xml:space="preserve">Start an idea</w:t>
            </w:r>
          </w:p>
        </w:tc>
      </w:tr>
      <w:tr>
        <w:tc>
          <w:tcPr>
            <w:tcW w:type="dxa" w:w="1600"/>
            <w:tcMar>
              <w:top w:type="dxa" w:w="100"/>
              <w:left w:type="dxa" w:w="120"/>
              <w:bottom w:type="dxa" w:w="100"/>
              <w:right w:type="dxa" w:w="120"/>
            </w:tcMar>
          </w:tcPr>
          <w:p>
            <w:r>
              <w:rPr>
                <w:i w:val="false"/>
                <w:iCs w:val="false"/>
                <w:sz w:val="19"/>
                <w:szCs w:val="19"/>
              </w:rPr>
              <w:t xml:space="preserve">Day 7</w:t>
            </w:r>
          </w:p>
        </w:tc>
        <w:tc>
          <w:tcPr>
            <w:tcW w:type="dxa" w:w="3200"/>
            <w:tcMar>
              <w:top w:type="dxa" w:w="100"/>
              <w:left w:type="dxa" w:w="120"/>
              <w:bottom w:type="dxa" w:w="100"/>
              <w:right w:type="dxa" w:w="120"/>
            </w:tcMar>
          </w:tcPr>
          <w:p>
            <w:r>
              <w:rPr>
                <w:i/>
                <w:iCs/>
                <w:sz w:val="19"/>
                <w:szCs w:val="19"/>
              </w:rPr>
              <w:t xml:space="preserve">What creators using CreatorOS do in week one</w:t>
            </w:r>
          </w:p>
        </w:tc>
        <w:tc>
          <w:tcPr>
            <w:tcW w:type="dxa" w:w="2650"/>
            <w:tcMar>
              <w:top w:type="dxa" w:w="100"/>
              <w:left w:type="dxa" w:w="120"/>
              <w:bottom w:type="dxa" w:w="100"/>
              <w:right w:type="dxa" w:w="120"/>
            </w:tcMar>
          </w:tcPr>
          <w:p>
            <w:r>
              <w:rPr>
                <w:i w:val="false"/>
                <w:iCs w:val="false"/>
                <w:sz w:val="19"/>
                <w:szCs w:val="19"/>
              </w:rPr>
              <w:t xml:space="preserve">Social proof + feature spotlight (Growth Coach, Pipeline)</w:t>
            </w:r>
          </w:p>
        </w:tc>
        <w:tc>
          <w:tcPr>
            <w:tcW w:type="dxa" w:w="1900"/>
            <w:tcMar>
              <w:top w:type="dxa" w:w="100"/>
              <w:left w:type="dxa" w:w="120"/>
              <w:bottom w:type="dxa" w:w="100"/>
              <w:right w:type="dxa" w:w="120"/>
            </w:tcMar>
          </w:tcPr>
          <w:p>
            <w:r>
              <w:rPr>
                <w:i w:val="false"/>
                <w:iCs w:val="false"/>
                <w:sz w:val="19"/>
                <w:szCs w:val="19"/>
              </w:rPr>
              <w:t xml:space="preserve">See Growth Coach</w:t>
            </w:r>
          </w:p>
        </w:tc>
      </w:tr>
      <w:tr>
        <w:tc>
          <w:tcPr>
            <w:tcW w:type="dxa" w:w="1600"/>
            <w:tcMar>
              <w:top w:type="dxa" w:w="100"/>
              <w:left w:type="dxa" w:w="120"/>
              <w:bottom w:type="dxa" w:w="100"/>
              <w:right w:type="dxa" w:w="120"/>
            </w:tcMar>
          </w:tcPr>
          <w:p>
            <w:r>
              <w:rPr>
                <w:i w:val="false"/>
                <w:iCs w:val="false"/>
                <w:sz w:val="19"/>
                <w:szCs w:val="19"/>
              </w:rPr>
              <w:t xml:space="preserve">Day 14, only if meaningfully active (2+ features used)</w:t>
            </w:r>
          </w:p>
        </w:tc>
        <w:tc>
          <w:tcPr>
            <w:tcW w:type="dxa" w:w="3200"/>
            <w:tcMar>
              <w:top w:type="dxa" w:w="100"/>
              <w:left w:type="dxa" w:w="120"/>
              <w:bottom w:type="dxa" w:w="100"/>
              <w:right w:type="dxa" w:w="120"/>
            </w:tcMar>
          </w:tcPr>
          <w:p>
            <w:r>
              <w:rPr>
                <w:i/>
                <w:iCs/>
                <w:sz w:val="19"/>
                <w:szCs w:val="19"/>
              </w:rPr>
              <w:t xml:space="preserve">You're getting real value — here's what's next</w:t>
            </w:r>
          </w:p>
        </w:tc>
        <w:tc>
          <w:tcPr>
            <w:tcW w:type="dxa" w:w="2650"/>
            <w:tcMar>
              <w:top w:type="dxa" w:w="100"/>
              <w:left w:type="dxa" w:w="120"/>
              <w:bottom w:type="dxa" w:w="100"/>
              <w:right w:type="dxa" w:w="120"/>
            </w:tcMar>
          </w:tcPr>
          <w:p>
            <w:r>
              <w:rPr>
                <w:i w:val="false"/>
                <w:iCs w:val="false"/>
                <w:sz w:val="19"/>
                <w:szCs w:val="19"/>
              </w:rPr>
              <w:t xml:space="preserve">Soft upsell framing — introduce that a paid tier is coming, gauge interest</w:t>
            </w:r>
          </w:p>
        </w:tc>
        <w:tc>
          <w:tcPr>
            <w:tcW w:type="dxa" w:w="1900"/>
            <w:tcMar>
              <w:top w:type="dxa" w:w="100"/>
              <w:left w:type="dxa" w:w="120"/>
              <w:bottom w:type="dxa" w:w="100"/>
              <w:right w:type="dxa" w:w="120"/>
            </w:tcMar>
          </w:tcPr>
          <w:p>
            <w:r>
              <w:rPr>
                <w:i w:val="false"/>
                <w:iCs w:val="false"/>
                <w:sz w:val="19"/>
                <w:szCs w:val="19"/>
              </w:rPr>
              <w:t xml:space="preserve">Join early access list</w:t>
            </w:r>
          </w:p>
        </w:tc>
      </w:tr>
    </w:tbl>
    <w:p>
      <w:pPr>
        <w:pStyle w:val="Heading2"/>
        <w:spacing w:after="150" w:before="300"/>
      </w:pPr>
      <w:r>
        <w:t xml:space="preserve">Phase A2 — Upgrade-intent broadcast campaign (Resend Broadcasts, manually or Inngest-scheduled)</w:t>
      </w:r>
    </w:p>
    <w:p>
      <w:pPr>
        <w:spacing w:after="160"/>
      </w:pPr>
      <w:r>
        <w:t xml:space="preserve">Once pricing exists, this is the campaign that actually asks for money. Segmented by engagement level so the pitch matches the person, using the Resend contact properties from Phase A0.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50"/>
        <w:gridCol w:w="1900"/>
      </w:tblGrid>
      <w:tr>
        <w:trPr>
          <w:tblHeader/>
        </w:trPr>
        <w:tc>
          <w:tcPr>
            <w:tcW w:type="dxa" w:w="1600"/>
            <w:shd w:fill="0E1116" w:color="auto" w:val="clear"/>
            <w:tcMar>
              <w:top w:type="dxa" w:w="100"/>
              <w:left w:type="dxa" w:w="120"/>
              <w:bottom w:type="dxa" w:w="100"/>
              <w:right w:type="dxa" w:w="120"/>
            </w:tcMar>
          </w:tcPr>
          <w:p>
            <w:r>
              <w:rPr>
                <w:b/>
                <w:bCs/>
                <w:color w:val="FFFFFF"/>
                <w:sz w:val="19"/>
                <w:szCs w:val="19"/>
              </w:rPr>
              <w:t xml:space="preserve">Send Timing</w:t>
            </w:r>
          </w:p>
        </w:tc>
        <w:tc>
          <w:tcPr>
            <w:tcW w:type="dxa" w:w="3200"/>
            <w:shd w:fill="0E1116" w:color="auto" w:val="clear"/>
            <w:tcMar>
              <w:top w:type="dxa" w:w="100"/>
              <w:left w:type="dxa" w:w="120"/>
              <w:bottom w:type="dxa" w:w="100"/>
              <w:right w:type="dxa" w:w="120"/>
            </w:tcMar>
          </w:tcPr>
          <w:p>
            <w:r>
              <w:rPr>
                <w:b/>
                <w:bCs/>
                <w:color w:val="FFFFFF"/>
                <w:sz w:val="19"/>
                <w:szCs w:val="19"/>
              </w:rPr>
              <w:t xml:space="preserve">Subject Line</w:t>
            </w:r>
          </w:p>
        </w:tc>
        <w:tc>
          <w:tcPr>
            <w:tcW w:type="dxa" w:w="2650"/>
            <w:shd w:fill="0E1116" w:color="auto" w:val="clear"/>
            <w:tcMar>
              <w:top w:type="dxa" w:w="100"/>
              <w:left w:type="dxa" w:w="120"/>
              <w:bottom w:type="dxa" w:w="100"/>
              <w:right w:type="dxa" w:w="120"/>
            </w:tcMar>
          </w:tcPr>
          <w:p>
            <w:r>
              <w:rPr>
                <w:b/>
                <w:bCs/>
                <w:color w:val="FFFFFF"/>
                <w:sz w:val="19"/>
                <w:szCs w:val="19"/>
              </w:rPr>
              <w:t xml:space="preserve">Goal</w:t>
            </w:r>
          </w:p>
        </w:tc>
        <w:tc>
          <w:tcPr>
            <w:tcW w:type="dxa" w:w="1900"/>
            <w:shd w:fill="0E1116" w:color="auto" w:val="clear"/>
            <w:tcMar>
              <w:top w:type="dxa" w:w="100"/>
              <w:left w:type="dxa" w:w="120"/>
              <w:bottom w:type="dxa" w:w="100"/>
              <w:right w:type="dxa" w:w="120"/>
            </w:tcMar>
          </w:tcPr>
          <w:p>
            <w:r>
              <w:rPr>
                <w:b/>
                <w:bCs/>
                <w:color w:val="FFFFFF"/>
                <w:sz w:val="19"/>
                <w:szCs w:val="19"/>
              </w:rPr>
              <w:t xml:space="preserve">Primary CTA</w:t>
            </w:r>
          </w:p>
        </w:tc>
      </w:tr>
      <w:tr>
        <w:tc>
          <w:tcPr>
            <w:tcW w:type="dxa" w:w="1600"/>
            <w:tcMar>
              <w:top w:type="dxa" w:w="100"/>
              <w:left w:type="dxa" w:w="120"/>
              <w:bottom w:type="dxa" w:w="100"/>
              <w:right w:type="dxa" w:w="120"/>
            </w:tcMar>
          </w:tcPr>
          <w:p>
            <w:r>
              <w:rPr>
                <w:i w:val="false"/>
                <w:iCs w:val="false"/>
                <w:sz w:val="19"/>
                <w:szCs w:val="19"/>
              </w:rPr>
              <w:t xml:space="preserve">Launch day</w:t>
            </w:r>
          </w:p>
        </w:tc>
        <w:tc>
          <w:tcPr>
            <w:tcW w:type="dxa" w:w="3200"/>
            <w:tcMar>
              <w:top w:type="dxa" w:w="100"/>
              <w:left w:type="dxa" w:w="120"/>
              <w:bottom w:type="dxa" w:w="100"/>
              <w:right w:type="dxa" w:w="120"/>
            </w:tcMar>
          </w:tcPr>
          <w:p>
            <w:r>
              <w:rPr>
                <w:i/>
                <w:iCs/>
                <w:sz w:val="19"/>
                <w:szCs w:val="19"/>
              </w:rPr>
              <w:t xml:space="preserve">CreatorOS Pro is here</w:t>
            </w:r>
          </w:p>
        </w:tc>
        <w:tc>
          <w:tcPr>
            <w:tcW w:type="dxa" w:w="2650"/>
            <w:tcMar>
              <w:top w:type="dxa" w:w="100"/>
              <w:left w:type="dxa" w:w="120"/>
              <w:bottom w:type="dxa" w:w="100"/>
              <w:right w:type="dxa" w:w="120"/>
            </w:tcMar>
          </w:tcPr>
          <w:p>
            <w:r>
              <w:rPr>
                <w:i w:val="false"/>
                <w:iCs w:val="false"/>
                <w:sz w:val="19"/>
                <w:szCs w:val="19"/>
              </w:rPr>
              <w:t xml:space="preserve">Announce pricing to the full free-plan audience, feature comparison</w:t>
            </w:r>
          </w:p>
        </w:tc>
        <w:tc>
          <w:tcPr>
            <w:tcW w:type="dxa" w:w="1900"/>
            <w:tcMar>
              <w:top w:type="dxa" w:w="100"/>
              <w:left w:type="dxa" w:w="120"/>
              <w:bottom w:type="dxa" w:w="100"/>
              <w:right w:type="dxa" w:w="120"/>
            </w:tcMar>
          </w:tcPr>
          <w:p>
            <w:r>
              <w:rPr>
                <w:i w:val="false"/>
                <w:iCs w:val="false"/>
                <w:sz w:val="19"/>
                <w:szCs w:val="19"/>
              </w:rPr>
              <w:t xml:space="preserve">See plans</w:t>
            </w:r>
          </w:p>
        </w:tc>
      </w:tr>
      <w:tr>
        <w:tc>
          <w:tcPr>
            <w:tcW w:type="dxa" w:w="1600"/>
            <w:tcMar>
              <w:top w:type="dxa" w:w="100"/>
              <w:left w:type="dxa" w:w="120"/>
              <w:bottom w:type="dxa" w:w="100"/>
              <w:right w:type="dxa" w:w="120"/>
            </w:tcMar>
          </w:tcPr>
          <w:p>
            <w:r>
              <w:rPr>
                <w:i w:val="false"/>
                <w:iCs w:val="false"/>
                <w:sz w:val="19"/>
                <w:szCs w:val="19"/>
              </w:rPr>
              <w:t xml:space="preserve">+3 days, high-engagement segment only</w:t>
            </w:r>
          </w:p>
        </w:tc>
        <w:tc>
          <w:tcPr>
            <w:tcW w:type="dxa" w:w="3200"/>
            <w:tcMar>
              <w:top w:type="dxa" w:w="100"/>
              <w:left w:type="dxa" w:w="120"/>
              <w:bottom w:type="dxa" w:w="100"/>
              <w:right w:type="dxa" w:w="120"/>
            </w:tcMar>
          </w:tcPr>
          <w:p>
            <w:r>
              <w:rPr>
                <w:i/>
                <w:iCs/>
                <w:sz w:val="19"/>
                <w:szCs w:val="19"/>
              </w:rPr>
              <w:t xml:space="preserve">You've outgrown the free plan (here's proof)</w:t>
            </w:r>
          </w:p>
        </w:tc>
        <w:tc>
          <w:tcPr>
            <w:tcW w:type="dxa" w:w="2650"/>
            <w:tcMar>
              <w:top w:type="dxa" w:w="100"/>
              <w:left w:type="dxa" w:w="120"/>
              <w:bottom w:type="dxa" w:w="100"/>
              <w:right w:type="dxa" w:w="120"/>
            </w:tcMar>
          </w:tcPr>
          <w:p>
            <w:r>
              <w:rPr>
                <w:i w:val="false"/>
                <w:iCs w:val="false"/>
                <w:sz w:val="19"/>
                <w:szCs w:val="19"/>
              </w:rPr>
              <w:t xml:space="preserve">Use their own usage data — ideas created, scripts written — as the pitch</w:t>
            </w:r>
          </w:p>
        </w:tc>
        <w:tc>
          <w:tcPr>
            <w:tcW w:type="dxa" w:w="1900"/>
            <w:tcMar>
              <w:top w:type="dxa" w:w="100"/>
              <w:left w:type="dxa" w:w="120"/>
              <w:bottom w:type="dxa" w:w="100"/>
              <w:right w:type="dxa" w:w="120"/>
            </w:tcMar>
          </w:tcPr>
          <w:p>
            <w:r>
              <w:rPr>
                <w:i w:val="false"/>
                <w:iCs w:val="false"/>
                <w:sz w:val="19"/>
                <w:szCs w:val="19"/>
              </w:rPr>
              <w:t xml:space="preserve">Upgrade now</w:t>
            </w:r>
          </w:p>
        </w:tc>
      </w:tr>
      <w:tr>
        <w:tc>
          <w:tcPr>
            <w:tcW w:type="dxa" w:w="1600"/>
            <w:tcMar>
              <w:top w:type="dxa" w:w="100"/>
              <w:left w:type="dxa" w:w="120"/>
              <w:bottom w:type="dxa" w:w="100"/>
              <w:right w:type="dxa" w:w="120"/>
            </w:tcMar>
          </w:tcPr>
          <w:p>
            <w:r>
              <w:rPr>
                <w:i w:val="false"/>
                <w:iCs w:val="false"/>
                <w:sz w:val="19"/>
                <w:szCs w:val="19"/>
              </w:rPr>
              <w:t xml:space="preserve">+7 days, opened but didn't click</w:t>
            </w:r>
          </w:p>
        </w:tc>
        <w:tc>
          <w:tcPr>
            <w:tcW w:type="dxa" w:w="3200"/>
            <w:tcMar>
              <w:top w:type="dxa" w:w="100"/>
              <w:left w:type="dxa" w:w="120"/>
              <w:bottom w:type="dxa" w:w="100"/>
              <w:right w:type="dxa" w:w="120"/>
            </w:tcMar>
          </w:tcPr>
          <w:p>
            <w:r>
              <w:rPr>
                <w:i/>
                <w:iCs/>
                <w:sz w:val="19"/>
                <w:szCs w:val="19"/>
              </w:rPr>
              <w:t xml:space="preserve">Still deciding? Here's what Pro actually unlocks</w:t>
            </w:r>
          </w:p>
        </w:tc>
        <w:tc>
          <w:tcPr>
            <w:tcW w:type="dxa" w:w="2650"/>
            <w:tcMar>
              <w:top w:type="dxa" w:w="100"/>
              <w:left w:type="dxa" w:w="120"/>
              <w:bottom w:type="dxa" w:w="100"/>
              <w:right w:type="dxa" w:w="120"/>
            </w:tcMar>
          </w:tcPr>
          <w:p>
            <w:r>
              <w:rPr>
                <w:i w:val="false"/>
                <w:iCs w:val="false"/>
                <w:sz w:val="19"/>
                <w:szCs w:val="19"/>
              </w:rPr>
              <w:t xml:space="preserve">Objection-handling, FAQ-style, address price hesitation directly</w:t>
            </w:r>
          </w:p>
        </w:tc>
        <w:tc>
          <w:tcPr>
            <w:tcW w:type="dxa" w:w="1900"/>
            <w:tcMar>
              <w:top w:type="dxa" w:w="100"/>
              <w:left w:type="dxa" w:w="120"/>
              <w:bottom w:type="dxa" w:w="100"/>
              <w:right w:type="dxa" w:w="120"/>
            </w:tcMar>
          </w:tcPr>
          <w:p>
            <w:r>
              <w:rPr>
                <w:i w:val="false"/>
                <w:iCs w:val="false"/>
                <w:sz w:val="19"/>
                <w:szCs w:val="19"/>
              </w:rPr>
              <w:t xml:space="preserve">Compare plans</w:t>
            </w:r>
          </w:p>
        </w:tc>
      </w:tr>
      <w:tr>
        <w:tc>
          <w:tcPr>
            <w:tcW w:type="dxa" w:w="1600"/>
            <w:tcMar>
              <w:top w:type="dxa" w:w="100"/>
              <w:left w:type="dxa" w:w="120"/>
              <w:bottom w:type="dxa" w:w="100"/>
              <w:right w:type="dxa" w:w="120"/>
            </w:tcMar>
          </w:tcPr>
          <w:p>
            <w:r>
              <w:rPr>
                <w:i w:val="false"/>
                <w:iCs w:val="false"/>
                <w:sz w:val="19"/>
                <w:szCs w:val="19"/>
              </w:rPr>
              <w:t xml:space="preserve">+14 days, low-engagement segment</w:t>
            </w:r>
          </w:p>
        </w:tc>
        <w:tc>
          <w:tcPr>
            <w:tcW w:type="dxa" w:w="3200"/>
            <w:tcMar>
              <w:top w:type="dxa" w:w="100"/>
              <w:left w:type="dxa" w:w="120"/>
              <w:bottom w:type="dxa" w:w="100"/>
              <w:right w:type="dxa" w:w="120"/>
            </w:tcMar>
          </w:tcPr>
          <w:p>
            <w:r>
              <w:rPr>
                <w:i/>
                <w:iCs/>
                <w:sz w:val="19"/>
                <w:szCs w:val="19"/>
              </w:rPr>
              <w:t xml:space="preserve">A faster way to get started with CreatorOS</w:t>
            </w:r>
          </w:p>
        </w:tc>
        <w:tc>
          <w:tcPr>
            <w:tcW w:type="dxa" w:w="2650"/>
            <w:tcMar>
              <w:top w:type="dxa" w:w="100"/>
              <w:left w:type="dxa" w:w="120"/>
              <w:bottom w:type="dxa" w:w="100"/>
              <w:right w:type="dxa" w:w="120"/>
            </w:tcMar>
          </w:tcPr>
          <w:p>
            <w:r>
              <w:rPr>
                <w:i w:val="false"/>
                <w:iCs w:val="false"/>
                <w:sz w:val="19"/>
                <w:szCs w:val="19"/>
              </w:rPr>
              <w:t xml:space="preserve">Re-activation before upsell — selling Pro to an inactive user wastes the send</w:t>
            </w:r>
          </w:p>
        </w:tc>
        <w:tc>
          <w:tcPr>
            <w:tcW w:type="dxa" w:w="1900"/>
            <w:tcMar>
              <w:top w:type="dxa" w:w="100"/>
              <w:left w:type="dxa" w:w="120"/>
              <w:bottom w:type="dxa" w:w="100"/>
              <w:right w:type="dxa" w:w="120"/>
            </w:tcMar>
          </w:tcPr>
          <w:p>
            <w:r>
              <w:rPr>
                <w:i w:val="false"/>
                <w:iCs w:val="false"/>
                <w:sz w:val="19"/>
                <w:szCs w:val="19"/>
              </w:rPr>
              <w:t xml:space="preserve">Reconnect / explore</w:t>
            </w:r>
          </w:p>
        </w:tc>
      </w:tr>
    </w:tbl>
    <w:p>
      <w:pPr>
        <w:spacing w:after="160"/>
      </w:pPr>
      <w:r>
        <w:t xml:space="preserve">Note on discounts: research is consistent that a discount offered too early trains users to wait for one. If used at all, save it for a single, clearly time-boxed "launch week" offer or a late-stage win-back nudge (Track B), not as the default pitch.</w:t>
      </w:r>
    </w:p>
    <w:p>
      <w:pPr>
        <w:pStyle w:val="Heading1"/>
        <w:spacing w:after="200" w:before="400"/>
      </w:pPr>
      <w:r>
        <w:t xml:space="preserve">6. Track B — Detailed Build Plan (ready to go once billing exists)</w:t>
      </w:r>
    </w:p>
    <w:p>
      <w:pPr>
        <w:pStyle w:val="Heading2"/>
        <w:spacing w:after="150" w:before="300"/>
      </w:pPr>
      <w:r>
        <w:t xml:space="preserve">Phase B0 — Prerequisite: billing has to exist</w:t>
      </w:r>
    </w:p>
    <w:p>
      <w:pPr>
        <w:spacing w:after="160"/>
      </w:pPr>
      <w:r>
        <w:t xml:space="preserve">Before any of Phase B1 can be targeted, the app needs: a payment provider integration (Stripe is the standard fit for a Next.js app like this), a real subscription record per workspace (plan tier, status, current period end, cancel-at-period-end flag), and a webhook handler that keeps that record in sync with what Stripe reports. This is a separate, sizable project — flagging it here as a dependency, not proposing to build it as part of this email plan.</w:t>
      </w:r>
    </w:p>
    <w:p>
      <w:pPr>
        <w:pStyle w:val="Heading2"/>
        <w:spacing w:after="150" w:before="300"/>
      </w:pPr>
      <w:r>
        <w:t xml:space="preserve">Phase B1 — Renewal risk sequence (once billing exists)</w:t>
      </w:r>
    </w:p>
    <w:p>
      <w:pPr>
        <w:spacing w:after="160"/>
      </w:pPr>
      <w:r>
        <w:t xml:space="preserve">Two different triggers matter here, and they call for different tones: someone who explicitly canceled (voluntary churn — they made a decision) versus someone whose card just failed silently (involuntary churn — they probably don't even know). Involuntary churn is the easier win: it's often just a broken card, not a decision to leave.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650"/>
        <w:gridCol w:w="1900"/>
      </w:tblGrid>
      <w:tr>
        <w:trPr>
          <w:tblHeader/>
        </w:trPr>
        <w:tc>
          <w:tcPr>
            <w:tcW w:type="dxa" w:w="1600"/>
            <w:shd w:fill="0E1116" w:color="auto" w:val="clear"/>
            <w:tcMar>
              <w:top w:type="dxa" w:w="100"/>
              <w:left w:type="dxa" w:w="120"/>
              <w:bottom w:type="dxa" w:w="100"/>
              <w:right w:type="dxa" w:w="120"/>
            </w:tcMar>
          </w:tcPr>
          <w:p>
            <w:r>
              <w:rPr>
                <w:b/>
                <w:bCs/>
                <w:color w:val="FFFFFF"/>
                <w:sz w:val="19"/>
                <w:szCs w:val="19"/>
              </w:rPr>
              <w:t xml:space="preserve">Send Timing</w:t>
            </w:r>
          </w:p>
        </w:tc>
        <w:tc>
          <w:tcPr>
            <w:tcW w:type="dxa" w:w="3200"/>
            <w:shd w:fill="0E1116" w:color="auto" w:val="clear"/>
            <w:tcMar>
              <w:top w:type="dxa" w:w="100"/>
              <w:left w:type="dxa" w:w="120"/>
              <w:bottom w:type="dxa" w:w="100"/>
              <w:right w:type="dxa" w:w="120"/>
            </w:tcMar>
          </w:tcPr>
          <w:p>
            <w:r>
              <w:rPr>
                <w:b/>
                <w:bCs/>
                <w:color w:val="FFFFFF"/>
                <w:sz w:val="19"/>
                <w:szCs w:val="19"/>
              </w:rPr>
              <w:t xml:space="preserve">Subject Line</w:t>
            </w:r>
          </w:p>
        </w:tc>
        <w:tc>
          <w:tcPr>
            <w:tcW w:type="dxa" w:w="2650"/>
            <w:shd w:fill="0E1116" w:color="auto" w:val="clear"/>
            <w:tcMar>
              <w:top w:type="dxa" w:w="100"/>
              <w:left w:type="dxa" w:w="120"/>
              <w:bottom w:type="dxa" w:w="100"/>
              <w:right w:type="dxa" w:w="120"/>
            </w:tcMar>
          </w:tcPr>
          <w:p>
            <w:r>
              <w:rPr>
                <w:b/>
                <w:bCs/>
                <w:color w:val="FFFFFF"/>
                <w:sz w:val="19"/>
                <w:szCs w:val="19"/>
              </w:rPr>
              <w:t xml:space="preserve">Goal</w:t>
            </w:r>
          </w:p>
        </w:tc>
        <w:tc>
          <w:tcPr>
            <w:tcW w:type="dxa" w:w="1900"/>
            <w:shd w:fill="0E1116" w:color="auto" w:val="clear"/>
            <w:tcMar>
              <w:top w:type="dxa" w:w="100"/>
              <w:left w:type="dxa" w:w="120"/>
              <w:bottom w:type="dxa" w:w="100"/>
              <w:right w:type="dxa" w:w="120"/>
            </w:tcMar>
          </w:tcPr>
          <w:p>
            <w:r>
              <w:rPr>
                <w:b/>
                <w:bCs/>
                <w:color w:val="FFFFFF"/>
                <w:sz w:val="19"/>
                <w:szCs w:val="19"/>
              </w:rPr>
              <w:t xml:space="preserve">Primary CTA</w:t>
            </w:r>
          </w:p>
        </w:tc>
      </w:tr>
      <w:tr>
        <w:tc>
          <w:tcPr>
            <w:tcW w:type="dxa" w:w="1600"/>
            <w:tcMar>
              <w:top w:type="dxa" w:w="100"/>
              <w:left w:type="dxa" w:w="120"/>
              <w:bottom w:type="dxa" w:w="100"/>
              <w:right w:type="dxa" w:w="120"/>
            </w:tcMar>
          </w:tcPr>
          <w:p>
            <w:r>
              <w:rPr>
                <w:i w:val="false"/>
                <w:iCs w:val="false"/>
                <w:sz w:val="19"/>
                <w:szCs w:val="19"/>
              </w:rPr>
              <w:t xml:space="preserve">7 days before renewal, cancel-at-period-end = true</w:t>
            </w:r>
          </w:p>
        </w:tc>
        <w:tc>
          <w:tcPr>
            <w:tcW w:type="dxa" w:w="3200"/>
            <w:tcMar>
              <w:top w:type="dxa" w:w="100"/>
              <w:left w:type="dxa" w:w="120"/>
              <w:bottom w:type="dxa" w:w="100"/>
              <w:right w:type="dxa" w:w="120"/>
            </w:tcMar>
          </w:tcPr>
          <w:p>
            <w:r>
              <w:rPr>
                <w:i/>
                <w:iCs/>
                <w:sz w:val="19"/>
                <w:szCs w:val="19"/>
              </w:rPr>
              <w:t xml:space="preserve">Your CreatorOS plan ends in a week</w:t>
            </w:r>
          </w:p>
        </w:tc>
        <w:tc>
          <w:tcPr>
            <w:tcW w:type="dxa" w:w="2650"/>
            <w:tcMar>
              <w:top w:type="dxa" w:w="100"/>
              <w:left w:type="dxa" w:w="120"/>
              <w:bottom w:type="dxa" w:w="100"/>
              <w:right w:type="dxa" w:w="120"/>
            </w:tcMar>
          </w:tcPr>
          <w:p>
            <w:r>
              <w:rPr>
                <w:i w:val="false"/>
                <w:iCs w:val="false"/>
                <w:sz w:val="19"/>
                <w:szCs w:val="19"/>
              </w:rPr>
              <w:t xml:space="preserve">Plain notice + easy re-subscribe link, no pressure yet</w:t>
            </w:r>
          </w:p>
        </w:tc>
        <w:tc>
          <w:tcPr>
            <w:tcW w:type="dxa" w:w="1900"/>
            <w:tcMar>
              <w:top w:type="dxa" w:w="100"/>
              <w:left w:type="dxa" w:w="120"/>
              <w:bottom w:type="dxa" w:w="100"/>
              <w:right w:type="dxa" w:w="120"/>
            </w:tcMar>
          </w:tcPr>
          <w:p>
            <w:r>
              <w:rPr>
                <w:i w:val="false"/>
                <w:iCs w:val="false"/>
                <w:sz w:val="19"/>
                <w:szCs w:val="19"/>
              </w:rPr>
              <w:t xml:space="preserve">Keep my plan</w:t>
            </w:r>
          </w:p>
        </w:tc>
      </w:tr>
      <w:tr>
        <w:tc>
          <w:tcPr>
            <w:tcW w:type="dxa" w:w="1600"/>
            <w:tcMar>
              <w:top w:type="dxa" w:w="100"/>
              <w:left w:type="dxa" w:w="120"/>
              <w:bottom w:type="dxa" w:w="100"/>
              <w:right w:type="dxa" w:w="120"/>
            </w:tcMar>
          </w:tcPr>
          <w:p>
            <w:r>
              <w:rPr>
                <w:i w:val="false"/>
                <w:iCs w:val="false"/>
                <w:sz w:val="19"/>
                <w:szCs w:val="19"/>
              </w:rPr>
              <w:t xml:space="preserve">On cancellation (immediate, triggered)</w:t>
            </w:r>
          </w:p>
        </w:tc>
        <w:tc>
          <w:tcPr>
            <w:tcW w:type="dxa" w:w="3200"/>
            <w:tcMar>
              <w:top w:type="dxa" w:w="100"/>
              <w:left w:type="dxa" w:w="120"/>
              <w:bottom w:type="dxa" w:w="100"/>
              <w:right w:type="dxa" w:w="120"/>
            </w:tcMar>
          </w:tcPr>
          <w:p>
            <w:r>
              <w:rPr>
                <w:i/>
                <w:iCs/>
                <w:sz w:val="19"/>
                <w:szCs w:val="19"/>
              </w:rPr>
              <w:t xml:space="preserve">Before you go — quick question?</w:t>
            </w:r>
          </w:p>
        </w:tc>
        <w:tc>
          <w:tcPr>
            <w:tcW w:type="dxa" w:w="2650"/>
            <w:tcMar>
              <w:top w:type="dxa" w:w="100"/>
              <w:left w:type="dxa" w:w="120"/>
              <w:bottom w:type="dxa" w:w="100"/>
              <w:right w:type="dxa" w:w="120"/>
            </w:tcMar>
          </w:tcPr>
          <w:p>
            <w:r>
              <w:rPr>
                <w:i w:val="false"/>
                <w:iCs w:val="false"/>
                <w:sz w:val="19"/>
                <w:szCs w:val="19"/>
              </w:rPr>
              <w:t xml:space="preserve">One-question exit survey (why are you leaving) — the answer drives which win-back email they get next</w:t>
            </w:r>
          </w:p>
        </w:tc>
        <w:tc>
          <w:tcPr>
            <w:tcW w:type="dxa" w:w="1900"/>
            <w:tcMar>
              <w:top w:type="dxa" w:w="100"/>
              <w:left w:type="dxa" w:w="120"/>
              <w:bottom w:type="dxa" w:w="100"/>
              <w:right w:type="dxa" w:w="120"/>
            </w:tcMar>
          </w:tcPr>
          <w:p>
            <w:r>
              <w:rPr>
                <w:i w:val="false"/>
                <w:iCs w:val="false"/>
                <w:sz w:val="19"/>
                <w:szCs w:val="19"/>
              </w:rPr>
              <w:t xml:space="preserve">Reply / 1-click reason</w:t>
            </w:r>
          </w:p>
        </w:tc>
      </w:tr>
      <w:tr>
        <w:tc>
          <w:tcPr>
            <w:tcW w:type="dxa" w:w="1600"/>
            <w:tcMar>
              <w:top w:type="dxa" w:w="100"/>
              <w:left w:type="dxa" w:w="120"/>
              <w:bottom w:type="dxa" w:w="100"/>
              <w:right w:type="dxa" w:w="120"/>
            </w:tcMar>
          </w:tcPr>
          <w:p>
            <w:r>
              <w:rPr>
                <w:i w:val="false"/>
                <w:iCs w:val="false"/>
                <w:sz w:val="19"/>
                <w:szCs w:val="19"/>
              </w:rPr>
              <w:t xml:space="preserve">+3 days after cancellation</w:t>
            </w:r>
          </w:p>
        </w:tc>
        <w:tc>
          <w:tcPr>
            <w:tcW w:type="dxa" w:w="3200"/>
            <w:tcMar>
              <w:top w:type="dxa" w:w="100"/>
              <w:left w:type="dxa" w:w="120"/>
              <w:bottom w:type="dxa" w:w="100"/>
              <w:right w:type="dxa" w:w="120"/>
            </w:tcMar>
          </w:tcPr>
          <w:p>
            <w:r>
              <w:rPr>
                <w:i/>
                <w:iCs/>
                <w:sz w:val="19"/>
                <w:szCs w:val="19"/>
              </w:rPr>
              <w:t xml:space="preserve">What you'll lose access to on [date]</w:t>
            </w:r>
          </w:p>
        </w:tc>
        <w:tc>
          <w:tcPr>
            <w:tcW w:type="dxa" w:w="2650"/>
            <w:tcMar>
              <w:top w:type="dxa" w:w="100"/>
              <w:left w:type="dxa" w:w="120"/>
              <w:bottom w:type="dxa" w:w="100"/>
              <w:right w:type="dxa" w:w="120"/>
            </w:tcMar>
          </w:tcPr>
          <w:p>
            <w:r>
              <w:rPr>
                <w:i w:val="false"/>
                <w:iCs w:val="false"/>
                <w:sz w:val="19"/>
                <w:szCs w:val="19"/>
              </w:rPr>
              <w:t xml:space="preserve">Concrete loss-aversion — list their actual data/scripts/pipeline still in the app</w:t>
            </w:r>
          </w:p>
        </w:tc>
        <w:tc>
          <w:tcPr>
            <w:tcW w:type="dxa" w:w="1900"/>
            <w:tcMar>
              <w:top w:type="dxa" w:w="100"/>
              <w:left w:type="dxa" w:w="120"/>
              <w:bottom w:type="dxa" w:w="100"/>
              <w:right w:type="dxa" w:w="120"/>
            </w:tcMar>
          </w:tcPr>
          <w:p>
            <w:r>
              <w:rPr>
                <w:i w:val="false"/>
                <w:iCs w:val="false"/>
                <w:sz w:val="19"/>
                <w:szCs w:val="19"/>
              </w:rPr>
              <w:t xml:space="preserve">Reactivate</w:t>
            </w:r>
          </w:p>
        </w:tc>
      </w:tr>
      <w:tr>
        <w:tc>
          <w:tcPr>
            <w:tcW w:type="dxa" w:w="1600"/>
            <w:tcMar>
              <w:top w:type="dxa" w:w="100"/>
              <w:left w:type="dxa" w:w="120"/>
              <w:bottom w:type="dxa" w:w="100"/>
              <w:right w:type="dxa" w:w="120"/>
            </w:tcMar>
          </w:tcPr>
          <w:p>
            <w:r>
              <w:rPr>
                <w:i w:val="false"/>
                <w:iCs w:val="false"/>
                <w:sz w:val="19"/>
                <w:szCs w:val="19"/>
              </w:rPr>
              <w:t xml:space="preserve">+14 days after cancellation</w:t>
            </w:r>
          </w:p>
        </w:tc>
        <w:tc>
          <w:tcPr>
            <w:tcW w:type="dxa" w:w="3200"/>
            <w:tcMar>
              <w:top w:type="dxa" w:w="100"/>
              <w:left w:type="dxa" w:w="120"/>
              <w:bottom w:type="dxa" w:w="100"/>
              <w:right w:type="dxa" w:w="120"/>
            </w:tcMar>
          </w:tcPr>
          <w:p>
            <w:r>
              <w:rPr>
                <w:i/>
                <w:iCs/>
                <w:sz w:val="19"/>
                <w:szCs w:val="19"/>
              </w:rPr>
              <w:t xml:space="preserve">Come back — [X]% off your first month</w:t>
            </w:r>
          </w:p>
        </w:tc>
        <w:tc>
          <w:tcPr>
            <w:tcW w:type="dxa" w:w="2650"/>
            <w:tcMar>
              <w:top w:type="dxa" w:w="100"/>
              <w:left w:type="dxa" w:w="120"/>
              <w:bottom w:type="dxa" w:w="100"/>
              <w:right w:type="dxa" w:w="120"/>
            </w:tcMar>
          </w:tcPr>
          <w:p>
            <w:r>
              <w:rPr>
                <w:i w:val="false"/>
                <w:iCs w:val="false"/>
                <w:sz w:val="19"/>
                <w:szCs w:val="19"/>
              </w:rPr>
              <w:t xml:space="preserve">Time-boxed discount, last-ditch offer per research best practice</w:t>
            </w:r>
          </w:p>
        </w:tc>
        <w:tc>
          <w:tcPr>
            <w:tcW w:type="dxa" w:w="1900"/>
            <w:tcMar>
              <w:top w:type="dxa" w:w="100"/>
              <w:left w:type="dxa" w:w="120"/>
              <w:bottom w:type="dxa" w:w="100"/>
              <w:right w:type="dxa" w:w="120"/>
            </w:tcMar>
          </w:tcPr>
          <w:p>
            <w:r>
              <w:rPr>
                <w:i w:val="false"/>
                <w:iCs w:val="false"/>
                <w:sz w:val="19"/>
                <w:szCs w:val="19"/>
              </w:rPr>
              <w:t xml:space="preserve">Reactivate with discount</w:t>
            </w:r>
          </w:p>
        </w:tc>
      </w:tr>
      <w:tr>
        <w:tc>
          <w:tcPr>
            <w:tcW w:type="dxa" w:w="1600"/>
            <w:tcMar>
              <w:top w:type="dxa" w:w="100"/>
              <w:left w:type="dxa" w:w="120"/>
              <w:bottom w:type="dxa" w:w="100"/>
              <w:right w:type="dxa" w:w="120"/>
            </w:tcMar>
          </w:tcPr>
          <w:p>
            <w:r>
              <w:rPr>
                <w:i w:val="false"/>
                <w:iCs w:val="false"/>
                <w:sz w:val="19"/>
                <w:szCs w:val="19"/>
              </w:rPr>
              <w:t xml:space="preserve">Failed payment (involuntary churn), immediate</w:t>
            </w:r>
          </w:p>
        </w:tc>
        <w:tc>
          <w:tcPr>
            <w:tcW w:type="dxa" w:w="3200"/>
            <w:tcMar>
              <w:top w:type="dxa" w:w="100"/>
              <w:left w:type="dxa" w:w="120"/>
              <w:bottom w:type="dxa" w:w="100"/>
              <w:right w:type="dxa" w:w="120"/>
            </w:tcMar>
          </w:tcPr>
          <w:p>
            <w:r>
              <w:rPr>
                <w:i/>
                <w:iCs/>
                <w:sz w:val="19"/>
                <w:szCs w:val="19"/>
              </w:rPr>
              <w:t xml:space="preserve">Your card didn't go through</w:t>
            </w:r>
          </w:p>
        </w:tc>
        <w:tc>
          <w:tcPr>
            <w:tcW w:type="dxa" w:w="2650"/>
            <w:tcMar>
              <w:top w:type="dxa" w:w="100"/>
              <w:left w:type="dxa" w:w="120"/>
              <w:bottom w:type="dxa" w:w="100"/>
              <w:right w:type="dxa" w:w="120"/>
            </w:tcMar>
          </w:tcPr>
          <w:p>
            <w:r>
              <w:rPr>
                <w:i w:val="false"/>
                <w:iCs w:val="false"/>
                <w:sz w:val="19"/>
                <w:szCs w:val="19"/>
              </w:rPr>
              <w:t xml:space="preserve">Zero blame, just a fix-it link — this group isn't trying to leave</w:t>
            </w:r>
          </w:p>
        </w:tc>
        <w:tc>
          <w:tcPr>
            <w:tcW w:type="dxa" w:w="1900"/>
            <w:tcMar>
              <w:top w:type="dxa" w:w="100"/>
              <w:left w:type="dxa" w:w="120"/>
              <w:bottom w:type="dxa" w:w="100"/>
              <w:right w:type="dxa" w:w="120"/>
            </w:tcMar>
          </w:tcPr>
          <w:p>
            <w:r>
              <w:rPr>
                <w:i w:val="false"/>
                <w:iCs w:val="false"/>
                <w:sz w:val="19"/>
                <w:szCs w:val="19"/>
              </w:rPr>
              <w:t xml:space="preserve">Update payment method</w:t>
            </w:r>
          </w:p>
        </w:tc>
      </w:tr>
    </w:tbl>
    <w:p>
      <w:pPr>
        <w:pStyle w:val="Heading1"/>
        <w:spacing w:after="200" w:before="400"/>
      </w:pPr>
      <w:r>
        <w:t xml:space="preserve">7. Segmentation Logic (who gets what)</w:t>
      </w:r>
    </w:p>
    <w:p>
      <w:pPr>
        <w:spacing w:after="160"/>
      </w:pPr>
      <w:r>
        <w:t xml:space="preserve">Everything above assumes contacts in Resend carry enough metadata to filter on. Recommended contact properties, synced from the app on a schedule (Inngest, daily) rather than only at signup, since plan/activity state changes over time:</w:t>
      </w:r>
    </w:p>
    <w:p>
      <w:pPr>
        <w:pStyle w:val="ListParagraph"/>
        <w:numPr>
          <w:ilvl w:val="0"/>
          <w:numId w:val="1"/>
        </w:numPr>
        <w:spacing w:after="100"/>
      </w:pPr>
      <w:r>
        <w:t xml:space="preserve">plan — free / pro / etc. (already exists as Workspace.plan)</w:t>
      </w:r>
    </w:p>
    <w:p>
      <w:pPr>
        <w:pStyle w:val="ListParagraph"/>
        <w:numPr>
          <w:ilvl w:val="0"/>
          <w:numId w:val="1"/>
        </w:numPr>
        <w:spacing w:after="100"/>
      </w:pPr>
      <w:r>
        <w:t xml:space="preserve">channelConnected — boolean, drives the Phase A1 branch</w:t>
      </w:r>
    </w:p>
    <w:p>
      <w:pPr>
        <w:pStyle w:val="ListParagraph"/>
        <w:numPr>
          <w:ilvl w:val="0"/>
          <w:numId w:val="1"/>
        </w:numPr>
        <w:spacing w:after="100"/>
      </w:pPr>
      <w:r>
        <w:t xml:space="preserve">activityLevel — computed (e.g. high / medium / low, based on last-7-day logins or feature usage), drives Phase A2 targeting</w:t>
      </w:r>
    </w:p>
    <w:p>
      <w:pPr>
        <w:pStyle w:val="ListParagraph"/>
        <w:numPr>
          <w:ilvl w:val="0"/>
          <w:numId w:val="1"/>
        </w:numPr>
        <w:spacing w:after="100"/>
      </w:pPr>
      <w:r>
        <w:t xml:space="preserve">subscriptionStatus — once Track B exists: active / cancel-pending / past-due / canceled</w:t>
      </w:r>
    </w:p>
    <w:p>
      <w:pPr>
        <w:pStyle w:val="ListParagraph"/>
        <w:numPr>
          <w:ilvl w:val="0"/>
          <w:numId w:val="1"/>
        </w:numPr>
        <w:spacing w:after="100"/>
      </w:pPr>
      <w:r>
        <w:t xml:space="preserve">renewsAt — once Track B exists: the actual renewal/expiration date, used to time the 7-days-before send</w:t>
      </w:r>
    </w:p>
    <w:p>
      <w:pPr>
        <w:pStyle w:val="Heading1"/>
        <w:spacing w:after="200" w:before="400"/>
      </w:pPr>
      <w:r>
        <w:t xml:space="preserve">8. Compliance — non-negotiable basics</w:t>
      </w:r>
    </w:p>
    <w:p>
      <w:pPr>
        <w:spacing w:after="160"/>
      </w:pPr>
      <w:r>
        <w:t xml:space="preserve">These apply the moment a single marketing (non-transactional) email goes out to anyone other than yourself:</w:t>
      </w:r>
    </w:p>
    <w:p>
      <w:pPr>
        <w:pStyle w:val="ListParagraph"/>
        <w:numPr>
          <w:ilvl w:val="0"/>
          <w:numId w:val="1"/>
        </w:numPr>
        <w:spacing w:after="100"/>
      </w:pPr>
      <w:r>
        <w:t xml:space="preserve">Every marketing email needs a visible, working one-click unsubscribe link — no login, no extra info required to opt out.</w:t>
      </w:r>
    </w:p>
    <w:p>
      <w:pPr>
        <w:pStyle w:val="ListParagraph"/>
        <w:numPr>
          <w:ilvl w:val="0"/>
          <w:numId w:val="1"/>
        </w:numPr>
        <w:spacing w:after="100"/>
      </w:pPr>
      <w:r>
        <w:t xml:space="preserve">Opt-outs must be honored within 10 business days (Resend handles this automatically if using their List-Unsubscribe / audience suppression, but it needs to actually be wired up).</w:t>
      </w:r>
    </w:p>
    <w:p>
      <w:pPr>
        <w:pStyle w:val="ListParagraph"/>
        <w:numPr>
          <w:ilvl w:val="0"/>
          <w:numId w:val="1"/>
        </w:numPr>
        <w:spacing w:after="100"/>
      </w:pPr>
      <w:r>
        <w:t xml:space="preserve">The "from" address and subject line can't be deceptive — straightforward, honest sender identity and subject lines.</w:t>
      </w:r>
    </w:p>
    <w:p>
      <w:pPr>
        <w:pStyle w:val="ListParagraph"/>
        <w:numPr>
          <w:ilvl w:val="0"/>
          <w:numId w:val="1"/>
        </w:numPr>
        <w:spacing w:after="100"/>
      </w:pPr>
      <w:r>
        <w:t xml:space="preserve">A real physical mailing address is legally required in the footer of marketing email (CAN-SPAM requirement) — this is easy to miss and worth deciding on now (a PO box is acceptable).</w:t>
      </w:r>
    </w:p>
    <w:p>
      <w:pPr>
        <w:pStyle w:val="ListParagraph"/>
        <w:numPr>
          <w:ilvl w:val="0"/>
          <w:numId w:val="1"/>
        </w:numPr>
        <w:spacing w:after="100"/>
      </w:pPr>
      <w:r>
        <w:t xml:space="preserve">Transactional email (verification, password reset, payment receipts) is exempt from unsubscribe requirements — the sequences in this plan are marketing email and are not exempt, so keep them on a separate sending identity/footer than the transactional emails already in src/lib/auth.ts.</w:t>
      </w:r>
    </w:p>
    <w:p>
      <w:pPr>
        <w:pStyle w:val="Heading1"/>
        <w:spacing w:after="200" w:before="400"/>
      </w:pPr>
      <w:r>
        <w:t xml:space="preserve">9. Metrics to Track From Day One</w:t>
      </w:r>
    </w:p>
    <w:p>
      <w:pPr>
        <w:pStyle w:val="ListParagraph"/>
        <w:numPr>
          <w:ilvl w:val="0"/>
          <w:numId w:val="1"/>
        </w:numPr>
        <w:spacing w:after="100"/>
      </w:pPr>
      <w:r>
        <w:t xml:space="preserve">Open rate and click rate per email (Resend's dashboard reports both natively per broadcast).</w:t>
      </w:r>
    </w:p>
    <w:p>
      <w:pPr>
        <w:pStyle w:val="ListParagraph"/>
        <w:numPr>
          <w:ilvl w:val="0"/>
          <w:numId w:val="1"/>
        </w:numPr>
        <w:spacing w:after="100"/>
      </w:pPr>
      <w:r>
        <w:t xml:space="preserve">Trial/free → paid conversion rate, segmented by whether the person received the Phase A2 sequence vs. not (so you can prove the emails are actually driving revenue, not just correlating with it).</w:t>
      </w:r>
    </w:p>
    <w:p>
      <w:pPr>
        <w:pStyle w:val="ListParagraph"/>
        <w:numPr>
          <w:ilvl w:val="0"/>
          <w:numId w:val="1"/>
        </w:numPr>
        <w:spacing w:after="100"/>
      </w:pPr>
      <w:r>
        <w:t xml:space="preserve">Unsubscribe rate per send — a rising trend is the earliest signal a sequence has gone stale or is sent too often.</w:t>
      </w:r>
    </w:p>
    <w:p>
      <w:pPr>
        <w:pStyle w:val="ListParagraph"/>
        <w:numPr>
          <w:ilvl w:val="0"/>
          <w:numId w:val="1"/>
        </w:numPr>
        <w:spacing w:after="100"/>
      </w:pPr>
      <w:r>
        <w:t xml:space="preserve">For Track B once live: win-back rate (canceled → reactivated within 30 days) and involuntary-churn recovery rate (failed payment → fixed within 7 days) separately, since they need completely different fixes if they're underperforming.</w:t>
      </w:r>
    </w:p>
    <w:p>
      <w:pPr>
        <w:pStyle w:val="Heading1"/>
        <w:spacing w:after="200" w:before="400"/>
      </w:pPr>
      <w:r>
        <w:t xml:space="preserve">10. Suggested Build Order</w:t>
      </w:r>
    </w:p>
    <w:p>
      <w:pPr>
        <w:spacing w:after="160"/>
      </w:pPr>
      <w:r>
        <w:rPr>
          <w:b/>
          <w:bCs/>
        </w:rPr>
        <w:t xml:space="preserve">1. </w:t>
      </w:r>
      <w:r>
        <w:t xml:space="preserve">Fix the resend-audience.ts audience_id bug (small, unblocks everything else).</w:t>
      </w:r>
    </w:p>
    <w:p>
      <w:pPr>
        <w:spacing w:after="160"/>
      </w:pPr>
      <w:r>
        <w:rPr>
          <w:b/>
          <w:bCs/>
        </w:rPr>
        <w:t xml:space="preserve">2. </w:t>
      </w:r>
      <w:r>
        <w:t xml:space="preserve">Add unsubscribe handling + the missing contact properties to Phase A0.</w:t>
      </w:r>
    </w:p>
    <w:p>
      <w:pPr>
        <w:spacing w:after="160"/>
      </w:pPr>
      <w:r>
        <w:rPr>
          <w:b/>
          <w:bCs/>
        </w:rPr>
        <w:t xml:space="preserve">3. </w:t>
      </w:r>
      <w:r>
        <w:t xml:space="preserve">Build the Phase A1 activation sequence — highest leverage, needs no billing, and directly improves the day-one experience regardless of monetization.</w:t>
      </w:r>
    </w:p>
    <w:p>
      <w:pPr>
        <w:spacing w:after="160"/>
      </w:pPr>
      <w:r>
        <w:rPr>
          <w:b/>
          <w:bCs/>
        </w:rPr>
        <w:t xml:space="preserve">4. </w:t>
      </w:r>
      <w:r>
        <w:t xml:space="preserve">Decide on pricing/billing timeline separately — that decision determines when Phase A2 and all of Track B become buildable.</w:t>
      </w:r>
    </w:p>
    <w:p>
      <w:pPr>
        <w:spacing w:after="160"/>
      </w:pPr>
      <w:r>
        <w:rPr>
          <w:b/>
          <w:bCs/>
        </w:rPr>
        <w:t xml:space="preserve">5. </w:t>
      </w:r>
      <w:r>
        <w:t xml:space="preserve">Once a pricing decision exists, build Phase A2, then start the billing integration that unlocks Track B.</w:t>
      </w:r>
    </w:p>
    <w:p>
      <w:pPr>
        <w:spacing w:after="160"/>
      </w:pPr>
      <w:r>
        <w:t xml:space="preserve"/>
      </w:r>
    </w:p>
    <w:p>
      <w:pPr>
        <w:spacing w:after="160"/>
      </w:pPr>
      <w:r>
        <w:rPr>
          <w:i/>
          <w:iCs/>
          <w:color w:val="555555"/>
        </w:rPr>
        <w:t xml:space="preserve">Nothing above has been implemented — this is the plan for us to discuss and prioritize together.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2026-07-29T23:26:29.640Z</dcterms:created>
  <dcterms:modified xsi:type="dcterms:W3CDTF">2026-07-29T23:26:29.640Z</dcterms:modified>
</cp:coreProperties>
</file>

<file path=docProps/custom.xml><?xml version="1.0" encoding="utf-8"?>
<Properties xmlns="http://schemas.openxmlformats.org/officeDocument/2006/custom-properties" xmlns:vt="http://schemas.openxmlformats.org/officeDocument/2006/docPropsVTypes"/>
</file>