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c680d6c1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Journey Map — Agent Creating a High Impact Incident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3.9295917912477"/>
        <w:gridCol w:w="1746.5735671358118"/>
        <w:gridCol w:w="1439.9941643938873"/>
        <w:gridCol w:w="2429.4095096064616"/>
        <w:gridCol w:w="1955.6049780962148"/>
        <w:tblGridChange w:id="0">
          <w:tblGrid>
            <w:gridCol w:w="1453.9295917912477"/>
            <w:gridCol w:w="1746.5735671358118"/>
            <w:gridCol w:w="1439.9941643938873"/>
            <w:gridCol w:w="2429.4095096064616"/>
            <w:gridCol w:w="1955.60497809621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Experience (Before)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Experience (After This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 ServiceNow, navigates to Incident → Create 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Incident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2. Enter basic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Fills Caller, Category, Short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Incident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3. Set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Selects Impact =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Impact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guidance on what else is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Urgency auto-sets to High + info message shown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4. Continue filling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Tries to fill remaining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Assignment group, 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May skip Assignment group; Urgency editable/inconsistent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Assignment group is now clearly mandatory (red asterisk); Urgency locked to High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Clicks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Form submit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Sometimes saves with missing Assigned To → discovered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Blocked immediately with a clear message if Assigned To is empty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6. Correct &amp; resubmit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Fixes the flagged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Assigned To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Confusing, no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Directed straight to the field that needs fixing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7. Record 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Incident created cleanly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Incident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quality 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Complete, consistent, SLA-ready data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8. Later list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Tries to bulk-update State from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Incident list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Could accidentally change State ungoverned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Blocked with alert; must open the record to change State properly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