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c4fy9anrz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nvjwq2mw8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4918441593934"/>
        <w:gridCol w:w="8213.019966864229"/>
        <w:tblGridChange w:id="0">
          <w:tblGrid>
            <w:gridCol w:w="812.4918441593934"/>
            <w:gridCol w:w="8213.0199668642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Assignment group becomes mandatory when Impact = 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Urgency becomes read-only when Impact = 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Both behaviors reverse automatically when Impact ≠ 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Urgency auto-sets to High (with an info message) when Impact changes to 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Save is blocked with an error message if Assigned To is empty on a High Impact incident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Inline edits to State from the Incident list are blocked with an alert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0oxw63k23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Requirements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7.7695262374825"/>
        <w:gridCol w:w="8067.742284786141"/>
        <w:tblGridChange w:id="0">
          <w:tblGrid>
            <w:gridCol w:w="957.7695262374825"/>
            <w:gridCol w:w="8067.7422847861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Applies only to the Incident table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Lightweight — no noticeable form load/save performance impact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Fully configurable/maintainable by an admin, no custom tables or schema changes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Works on out-of-the-box Incident fields (impact, urgency, assignment_group, assigned_to, state)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