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58"/>
          <w:szCs w:val="58"/>
        </w:rPr>
      </w:pPr>
      <w:bookmarkStart w:colFirst="0" w:colLast="0" w:name="_m2q8fny1gxsh" w:id="0"/>
      <w:bookmarkEnd w:id="0"/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Proposed Solution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Enforce data integrity entirely on the client side using a combination of 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UI Policy</w:t>
      </w:r>
      <w:r w:rsidDel="00000000" w:rsidR="00000000" w:rsidRPr="00000000">
        <w:rPr>
          <w:sz w:val="28"/>
          <w:szCs w:val="28"/>
          <w:rtl w:val="0"/>
        </w:rPr>
        <w:t xml:space="preserve"> (declarative, condition-based field control) and three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 Scripts</w:t>
      </w:r>
      <w:r w:rsidDel="00000000" w:rsidR="00000000" w:rsidRPr="00000000">
        <w:rPr>
          <w:sz w:val="28"/>
          <w:szCs w:val="28"/>
          <w:rtl w:val="0"/>
        </w:rPr>
        <w:t xml:space="preserve"> (custom logic UI Policy can't express):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UI Policy,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Impact Control</w:t>
      </w:r>
      <w:r w:rsidDel="00000000" w:rsidR="00000000" w:rsidRPr="00000000">
        <w:rPr>
          <w:sz w:val="28"/>
          <w:szCs w:val="28"/>
          <w:rtl w:val="0"/>
        </w:rPr>
        <w:t xml:space="preserve">, triggers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Impact = High</w:t>
      </w:r>
      <w:r w:rsidDel="00000000" w:rsidR="00000000" w:rsidRPr="00000000">
        <w:rPr>
          <w:sz w:val="28"/>
          <w:szCs w:val="28"/>
          <w:rtl w:val="0"/>
        </w:rPr>
        <w:t xml:space="preserve"> and drives two actions: making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group</w:t>
      </w:r>
      <w:r w:rsidDel="00000000" w:rsidR="00000000" w:rsidRPr="00000000">
        <w:rPr>
          <w:sz w:val="28"/>
          <w:szCs w:val="28"/>
          <w:rtl w:val="0"/>
        </w:rPr>
        <w:t xml:space="preserve"> mandatory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Urgency</w:t>
      </w:r>
      <w:r w:rsidDel="00000000" w:rsidR="00000000" w:rsidRPr="00000000">
        <w:rPr>
          <w:sz w:val="28"/>
          <w:szCs w:val="28"/>
          <w:rtl w:val="0"/>
        </w:rPr>
        <w:t xml:space="preserve"> read-only — both of which automatically reverse when Impact is no longer High.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onChange</w:t>
      </w:r>
      <w:r w:rsidDel="00000000" w:rsidR="00000000" w:rsidRPr="00000000">
        <w:rPr>
          <w:sz w:val="28"/>
          <w:szCs w:val="28"/>
          <w:rtl w:val="0"/>
        </w:rPr>
        <w:t xml:space="preserve"> Client Script auto-sets Urgency to High the moment Impact is changed to High, with an informational message, so agents aren't left to do it manually.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onSubmit</w:t>
      </w:r>
      <w:r w:rsidDel="00000000" w:rsidR="00000000" w:rsidRPr="00000000">
        <w:rPr>
          <w:sz w:val="28"/>
          <w:szCs w:val="28"/>
          <w:rtl w:val="0"/>
        </w:rPr>
        <w:t xml:space="preserve"> Client Script blocks saving a High Impact incident that has no Assigned To, with a clear inline error.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onCellEdit</w:t>
      </w:r>
      <w:r w:rsidDel="00000000" w:rsidR="00000000" w:rsidRPr="00000000">
        <w:rPr>
          <w:sz w:val="28"/>
          <w:szCs w:val="28"/>
          <w:rtl w:val="0"/>
        </w:rPr>
        <w:t xml:space="preserve"> Client Script blocks direct State edits from the Incident list view, forcing state changes through the governed form.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