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Executive Summary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Predictive Customer Churn Risk Scoring — European Retail Banking Portfolio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EF3FB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D4ED8"/>
                <w:sz w:val="32"/>
                <w:szCs w:val="32"/>
              </w:rPr>
              <w:t xml:space="preserve">10,000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Customers Analyzed</w:t>
            </w:r>
          </w:p>
        </w:tc>
        <w:tc>
          <w:tcPr>
            <w:tcW w:type="dxa" w:w="3200"/>
            <w:shd w:fill="EEF3FB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D4ED8"/>
                <w:sz w:val="32"/>
                <w:szCs w:val="32"/>
              </w:rPr>
              <w:t xml:space="preserve">20.4%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Overall Churn Rate</w:t>
            </w:r>
          </w:p>
        </w:tc>
        <w:tc>
          <w:tcPr>
            <w:tcW w:type="dxa" w:w="3200"/>
            <w:shd w:fill="EEF3FB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D4ED8"/>
                <w:sz w:val="32"/>
                <w:szCs w:val="32"/>
              </w:rPr>
              <w:t xml:space="preserve">87%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Model Accuracy (ROC-AUC)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The Issue</w:t>
      </w:r>
    </w:p>
    <w:p>
      <w:pPr>
        <w:spacing w:after="120"/>
      </w:pPr>
      <w:r>
        <w:t xml:space="preserve">Roughly 1 in 5 retail banking customers in this portfolio (20.4%) leave the bank. Historically, this was only understood after the fact — once a customer had already closed their accounts. This project delivers a system that flags at-risk customers in advance, so retention teams can act before the customer leaves rather than after.</w:t>
      </w:r>
    </w:p>
    <w:p>
      <w:pPr>
        <w:pStyle w:val="Heading1"/>
        <w:spacing w:after="150" w:before="300"/>
      </w:pPr>
      <w:r>
        <w:t xml:space="preserve">What We Built</w:t>
      </w:r>
    </w:p>
    <w:p>
      <w:pPr>
        <w:spacing w:after="120"/>
      </w:pPr>
      <w:r>
        <w:t xml:space="preserve">A machine-learning model was trained on 10,000 anonymized customer records covering demographics, account activity, and product holdings. The model assigns every customer a churn probability score (0–100%) and is paired with an interactive dashboard that lets staff look up any customer's risk, explore what drives churn across the portfolio, and test 'what-if' scenarios — for example, seeing how a customer's risk changes if they become more active or reduce their product count.</w:t>
      </w:r>
    </w:p>
    <w:p>
      <w:pPr>
        <w:pStyle w:val="Heading1"/>
        <w:spacing w:after="150" w:before="30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Product over-concentration is the single biggest red flag. Customers holding 3 or 4 products churn at 83–100%, far higher than the 8% churn rate for customers with 2 products. This strongly suggests over-selling or unresolved dissatisfaction, not loyalty.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Disengaged customers are twice as likely to leave. Inactive members churn at 27%, versus 14% for active members — a comparatively low-cost group to re-engage.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Germany is a hotspot. Customers there churn at 32%, roughly double the rate in France and Spain, warranting local investigation.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Older customers are higher risk. Customers who churned were a median age of 45, versus 36 for those who stayed.</w:t>
      </w:r>
    </w:p>
    <w:p>
      <w:pPr>
        <w:pStyle w:val="Heading1"/>
        <w:spacing w:after="150" w:before="300"/>
      </w:pPr>
      <w:r>
        <w:t xml:space="preserve">Recommended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Launch an immediate review of customers holding 3+ products to understand and address the cause.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Stand up a re-engagement campaign targeted at inactive members.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Commission a local market review in Germany to understand the elevated churn rate there.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Adopt the dashboard's risk scores to prioritize and size retention outreach going forward.</w:t>
      </w:r>
    </w:p>
    <w:p>
      <w:pPr>
        <w:pStyle w:val="Heading1"/>
        <w:spacing w:after="150" w:before="300"/>
      </w:pPr>
      <w:r>
        <w:t xml:space="preserve">About the Model</w:t>
      </w:r>
    </w:p>
    <w:p>
      <w:pPr>
        <w:spacing w:after="120"/>
      </w:pPr>
      <w:r>
        <w:t xml:space="preserve">Four modeling approaches were tested; the best-performing model correctly distinguishes customers who will churn from those who won't 87% of the time (ROC-AUC), evaluated on a held-out test set the model never saw during training. The dashboard lets staff adjust how cautious or aggressive the flagging should be, depending on how many customers a retention campaign can realistically handle at once.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2026-08-06T15:50:13.677Z</dcterms:created>
  <dcterms:modified xsi:type="dcterms:W3CDTF">2026-08-06T15:50:13.677Z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