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1D7E4" w14:textId="0249C72F" w:rsidR="005432D0" w:rsidRPr="00EC5330" w:rsidRDefault="005432D0" w:rsidP="005432D0">
      <w:pPr>
        <w:spacing w:line="360" w:lineRule="auto"/>
        <w:rPr>
          <w:rFonts w:ascii="Arial" w:eastAsia="Batang" w:hAnsi="Arial" w:cs="Arial"/>
          <w:b/>
          <w:color w:val="000000" w:themeColor="text1"/>
        </w:rPr>
      </w:pPr>
      <w:r>
        <w:rPr>
          <w:rFonts w:ascii="Arial" w:eastAsia="Batang" w:hAnsi="Arial" w:cs="Arial"/>
          <w:b/>
          <w:color w:val="000000" w:themeColor="text1"/>
        </w:rPr>
        <w:t xml:space="preserve">Supplementary </w:t>
      </w:r>
      <w:bookmarkStart w:id="0" w:name="_GoBack"/>
      <w:bookmarkEnd w:id="0"/>
      <w:r w:rsidRPr="00EC5330">
        <w:rPr>
          <w:rFonts w:ascii="Arial" w:eastAsia="Batang" w:hAnsi="Arial" w:cs="Arial"/>
          <w:b/>
          <w:color w:val="000000" w:themeColor="text1"/>
        </w:rPr>
        <w:t xml:space="preserve">Figure Legends </w:t>
      </w:r>
    </w:p>
    <w:p w14:paraId="5999EB29" w14:textId="6EF92E1D" w:rsidR="005432D0" w:rsidRPr="00EC5330" w:rsidRDefault="005432D0" w:rsidP="005432D0">
      <w:pPr>
        <w:spacing w:line="360" w:lineRule="auto"/>
        <w:jc w:val="both"/>
        <w:rPr>
          <w:rFonts w:ascii="Arial" w:eastAsia="Batang" w:hAnsi="Arial" w:cs="Arial"/>
          <w:color w:val="000000" w:themeColor="text1"/>
        </w:rPr>
      </w:pPr>
      <w:r w:rsidRPr="00EC5330">
        <w:rPr>
          <w:rFonts w:ascii="Arial" w:eastAsia="Batang" w:hAnsi="Arial" w:cs="Arial"/>
          <w:b/>
          <w:color w:val="000000" w:themeColor="text1"/>
        </w:rPr>
        <w:t>Sup Figure 1. Full-length adiponectin (</w:t>
      </w:r>
      <w:proofErr w:type="spellStart"/>
      <w:r w:rsidRPr="00EC5330">
        <w:rPr>
          <w:rFonts w:ascii="Arial" w:eastAsia="Batang" w:hAnsi="Arial" w:cs="Arial"/>
          <w:b/>
          <w:color w:val="000000" w:themeColor="text1"/>
        </w:rPr>
        <w:t>fAd</w:t>
      </w:r>
      <w:proofErr w:type="spellEnd"/>
      <w:r w:rsidRPr="00EC5330">
        <w:rPr>
          <w:rFonts w:ascii="Arial" w:eastAsia="Batang" w:hAnsi="Arial" w:cs="Arial"/>
          <w:b/>
          <w:color w:val="000000" w:themeColor="text1"/>
        </w:rPr>
        <w:t xml:space="preserve">) conjugated with VivoTag750 had 3 different forms by adiponectin oligomerization (LMW, MMW and HMW) and gave a linear slope of signal intensity depending on concentration of </w:t>
      </w:r>
      <w:proofErr w:type="spellStart"/>
      <w:r w:rsidRPr="00EC5330">
        <w:rPr>
          <w:rFonts w:ascii="Arial" w:eastAsia="Batang" w:hAnsi="Arial" w:cs="Arial"/>
          <w:b/>
          <w:color w:val="000000" w:themeColor="text1"/>
        </w:rPr>
        <w:t>fAd</w:t>
      </w:r>
      <w:proofErr w:type="spellEnd"/>
      <w:r w:rsidRPr="00EC5330">
        <w:rPr>
          <w:rFonts w:ascii="Arial" w:eastAsia="Batang" w:hAnsi="Arial" w:cs="Arial"/>
          <w:b/>
          <w:color w:val="000000" w:themeColor="text1"/>
        </w:rPr>
        <w:t xml:space="preserve">. </w:t>
      </w:r>
      <w:r w:rsidRPr="00EC5330">
        <w:rPr>
          <w:rFonts w:ascii="Arial" w:eastAsia="Batang" w:hAnsi="Arial" w:cs="Arial"/>
          <w:color w:val="000000" w:themeColor="text1"/>
        </w:rPr>
        <w:t xml:space="preserve">(A) To confirm the labeled adiponectin, non-labeled </w:t>
      </w:r>
      <w:proofErr w:type="spellStart"/>
      <w:r w:rsidRPr="00EC5330">
        <w:rPr>
          <w:rFonts w:ascii="Arial" w:eastAsia="Batang" w:hAnsi="Arial" w:cs="Arial"/>
          <w:color w:val="000000" w:themeColor="text1"/>
        </w:rPr>
        <w:t>fAd</w:t>
      </w:r>
      <w:proofErr w:type="spellEnd"/>
      <w:r w:rsidRPr="00EC5330">
        <w:rPr>
          <w:rFonts w:ascii="Arial" w:eastAsia="Batang" w:hAnsi="Arial" w:cs="Arial"/>
          <w:color w:val="000000" w:themeColor="text1"/>
        </w:rPr>
        <w:t xml:space="preserve"> and VT750-conjugated </w:t>
      </w:r>
      <w:proofErr w:type="spellStart"/>
      <w:r w:rsidRPr="00EC5330">
        <w:rPr>
          <w:rFonts w:ascii="Arial" w:eastAsia="Batang" w:hAnsi="Arial" w:cs="Arial"/>
          <w:color w:val="000000" w:themeColor="text1"/>
        </w:rPr>
        <w:t>fAd</w:t>
      </w:r>
      <w:proofErr w:type="spellEnd"/>
      <w:r w:rsidRPr="00EC5330">
        <w:rPr>
          <w:rFonts w:ascii="Arial" w:eastAsia="Batang" w:hAnsi="Arial" w:cs="Arial"/>
          <w:color w:val="000000" w:themeColor="text1"/>
        </w:rPr>
        <w:t xml:space="preserve"> were separated side by side in </w:t>
      </w:r>
      <w:proofErr w:type="gramStart"/>
      <w:r w:rsidRPr="00EC5330">
        <w:rPr>
          <w:rFonts w:ascii="Arial" w:eastAsia="Batang" w:hAnsi="Arial" w:cs="Arial"/>
          <w:color w:val="000000" w:themeColor="text1"/>
        </w:rPr>
        <w:t>a</w:t>
      </w:r>
      <w:proofErr w:type="gramEnd"/>
      <w:r w:rsidRPr="00EC5330">
        <w:rPr>
          <w:rFonts w:ascii="Arial" w:eastAsia="Batang" w:hAnsi="Arial" w:cs="Arial"/>
          <w:color w:val="000000" w:themeColor="text1"/>
        </w:rPr>
        <w:t xml:space="preserve"> SDS-PAGE gel and scanned by Li-Cor image scanner. Then, the both separated </w:t>
      </w:r>
      <w:proofErr w:type="spellStart"/>
      <w:r w:rsidRPr="00EC5330">
        <w:rPr>
          <w:rFonts w:ascii="Arial" w:eastAsia="Batang" w:hAnsi="Arial" w:cs="Arial"/>
          <w:color w:val="000000" w:themeColor="text1"/>
        </w:rPr>
        <w:t>fAds</w:t>
      </w:r>
      <w:proofErr w:type="spellEnd"/>
      <w:r w:rsidRPr="00EC5330">
        <w:rPr>
          <w:rFonts w:ascii="Arial" w:eastAsia="Batang" w:hAnsi="Arial" w:cs="Arial"/>
          <w:color w:val="000000" w:themeColor="text1"/>
        </w:rPr>
        <w:t xml:space="preserve"> were transferred from the SDS-PAGE gel into PVDF membrane to be detected by adiponectin antibody via immunoblotting. It was confirmed that the labeled </w:t>
      </w:r>
      <w:proofErr w:type="spellStart"/>
      <w:r w:rsidRPr="00EC5330">
        <w:rPr>
          <w:rFonts w:ascii="Arial" w:eastAsia="Batang" w:hAnsi="Arial" w:cs="Arial"/>
          <w:color w:val="000000" w:themeColor="text1"/>
        </w:rPr>
        <w:t>fAd</w:t>
      </w:r>
      <w:proofErr w:type="spellEnd"/>
      <w:r w:rsidRPr="00EC5330">
        <w:rPr>
          <w:rFonts w:ascii="Arial" w:eastAsia="Batang" w:hAnsi="Arial" w:cs="Arial"/>
          <w:color w:val="000000" w:themeColor="text1"/>
        </w:rPr>
        <w:t xml:space="preserve"> had 3 different forms as same as non-labeled </w:t>
      </w:r>
      <w:proofErr w:type="spellStart"/>
      <w:r w:rsidRPr="00EC5330">
        <w:rPr>
          <w:rFonts w:ascii="Arial" w:eastAsia="Batang" w:hAnsi="Arial" w:cs="Arial"/>
          <w:color w:val="000000" w:themeColor="text1"/>
        </w:rPr>
        <w:t>fAd</w:t>
      </w:r>
      <w:proofErr w:type="spellEnd"/>
      <w:r w:rsidRPr="00EC5330">
        <w:rPr>
          <w:rFonts w:ascii="Arial" w:eastAsia="Batang" w:hAnsi="Arial" w:cs="Arial"/>
          <w:color w:val="000000" w:themeColor="text1"/>
        </w:rPr>
        <w:t xml:space="preserve">. </w:t>
      </w:r>
      <w:r w:rsidRPr="00EC5330">
        <w:rPr>
          <w:rFonts w:ascii="Arial" w:hAnsi="Arial" w:cs="Arial"/>
          <w:color w:val="000000" w:themeColor="text1"/>
        </w:rPr>
        <w:t xml:space="preserve">(HMW &gt;250 </w:t>
      </w:r>
      <w:proofErr w:type="spellStart"/>
      <w:r w:rsidRPr="00EC5330">
        <w:rPr>
          <w:rFonts w:ascii="Arial" w:hAnsi="Arial" w:cs="Arial"/>
          <w:color w:val="000000" w:themeColor="text1"/>
        </w:rPr>
        <w:t>kDa</w:t>
      </w:r>
      <w:proofErr w:type="spellEnd"/>
      <w:r w:rsidRPr="00EC5330">
        <w:rPr>
          <w:rFonts w:ascii="Arial" w:hAnsi="Arial" w:cs="Arial"/>
          <w:color w:val="000000" w:themeColor="text1"/>
        </w:rPr>
        <w:t xml:space="preserve">, MMW ~180 </w:t>
      </w:r>
      <w:proofErr w:type="spellStart"/>
      <w:r w:rsidRPr="00EC5330">
        <w:rPr>
          <w:rFonts w:ascii="Arial" w:hAnsi="Arial" w:cs="Arial"/>
          <w:color w:val="000000" w:themeColor="text1"/>
        </w:rPr>
        <w:t>kDa</w:t>
      </w:r>
      <w:proofErr w:type="spellEnd"/>
      <w:r w:rsidRPr="00EC5330">
        <w:rPr>
          <w:rFonts w:ascii="Arial" w:hAnsi="Arial" w:cs="Arial"/>
          <w:color w:val="000000" w:themeColor="text1"/>
        </w:rPr>
        <w:t xml:space="preserve"> and LMW ~90 </w:t>
      </w:r>
      <w:proofErr w:type="spellStart"/>
      <w:r w:rsidRPr="00EC5330">
        <w:rPr>
          <w:rFonts w:ascii="Arial" w:hAnsi="Arial" w:cs="Arial"/>
          <w:color w:val="000000" w:themeColor="text1"/>
        </w:rPr>
        <w:t>kDa</w:t>
      </w:r>
      <w:proofErr w:type="spellEnd"/>
      <w:r w:rsidRPr="00EC5330">
        <w:rPr>
          <w:rFonts w:ascii="Arial" w:hAnsi="Arial" w:cs="Arial"/>
          <w:color w:val="000000" w:themeColor="text1"/>
        </w:rPr>
        <w:t xml:space="preserve">) </w:t>
      </w:r>
      <w:r w:rsidRPr="00EC5330">
        <w:rPr>
          <w:rFonts w:ascii="Arial" w:eastAsia="Batang" w:hAnsi="Arial" w:cs="Arial"/>
          <w:color w:val="000000" w:themeColor="text1"/>
        </w:rPr>
        <w:t>(B) To assess the meaning of signal intensity with labeled adiponectin from the field of view under FMT system, fluorochrome concentration was measured in dose dependent conditions. It showed linear regression with R</w:t>
      </w:r>
      <w:r w:rsidRPr="00EC5330">
        <w:rPr>
          <w:rFonts w:ascii="Arial" w:eastAsia="Batang" w:hAnsi="Arial" w:cs="Arial"/>
          <w:color w:val="000000" w:themeColor="text1"/>
          <w:vertAlign w:val="superscript"/>
        </w:rPr>
        <w:t>2</w:t>
      </w:r>
      <w:r w:rsidRPr="00EC5330">
        <w:rPr>
          <w:rFonts w:ascii="Arial" w:eastAsia="Batang" w:hAnsi="Arial" w:cs="Arial"/>
          <w:color w:val="000000" w:themeColor="text1"/>
        </w:rPr>
        <w:t xml:space="preserve">=0.991 of the trendline. (C) FMT imaging was taken using a pin-channel imaging block and VT750-conjugated </w:t>
      </w:r>
      <w:proofErr w:type="spellStart"/>
      <w:r w:rsidRPr="00EC5330">
        <w:rPr>
          <w:rFonts w:ascii="Arial" w:eastAsia="Batang" w:hAnsi="Arial" w:cs="Arial"/>
          <w:color w:val="000000" w:themeColor="text1"/>
        </w:rPr>
        <w:t>fAd</w:t>
      </w:r>
      <w:proofErr w:type="spellEnd"/>
      <w:r w:rsidRPr="00EC5330">
        <w:rPr>
          <w:rFonts w:ascii="Arial" w:eastAsia="Batang" w:hAnsi="Arial" w:cs="Arial"/>
          <w:color w:val="000000" w:themeColor="text1"/>
        </w:rPr>
        <w:t xml:space="preserve"> was diluted serially in the range of 0 to 160 µg.</w:t>
      </w:r>
    </w:p>
    <w:p w14:paraId="00DF659B" w14:textId="77777777" w:rsidR="005432D0" w:rsidRPr="00EC5330" w:rsidRDefault="005432D0" w:rsidP="005432D0">
      <w:pPr>
        <w:spacing w:line="360" w:lineRule="auto"/>
        <w:jc w:val="both"/>
        <w:rPr>
          <w:rFonts w:ascii="Arial" w:hAnsi="Arial" w:cs="Arial"/>
          <w:color w:val="000000" w:themeColor="text1"/>
        </w:rPr>
      </w:pPr>
      <w:r w:rsidRPr="00EC5330">
        <w:rPr>
          <w:rFonts w:ascii="Arial" w:eastAsia="Batang" w:hAnsi="Arial" w:cs="Arial"/>
          <w:color w:val="000000" w:themeColor="text1"/>
        </w:rPr>
        <w:t xml:space="preserve"> </w:t>
      </w:r>
    </w:p>
    <w:p w14:paraId="15499964" w14:textId="77777777" w:rsidR="005432D0" w:rsidRPr="00EC5330" w:rsidRDefault="005432D0" w:rsidP="005432D0">
      <w:pPr>
        <w:spacing w:line="360" w:lineRule="auto"/>
        <w:jc w:val="both"/>
        <w:rPr>
          <w:rFonts w:ascii="Arial" w:hAnsi="Arial" w:cs="Arial"/>
          <w:color w:val="000000" w:themeColor="text1"/>
        </w:rPr>
      </w:pPr>
      <w:r w:rsidRPr="00EC5330">
        <w:rPr>
          <w:rFonts w:ascii="Arial" w:hAnsi="Arial" w:cs="Arial"/>
          <w:b/>
          <w:color w:val="000000" w:themeColor="text1"/>
        </w:rPr>
        <w:t xml:space="preserve">Sup Figure 2. Equal amount of VT750-conjugated </w:t>
      </w:r>
      <w:proofErr w:type="spellStart"/>
      <w:r w:rsidRPr="00EC5330">
        <w:rPr>
          <w:rFonts w:ascii="Arial" w:hAnsi="Arial" w:cs="Arial"/>
          <w:b/>
          <w:color w:val="000000" w:themeColor="text1"/>
        </w:rPr>
        <w:t>fAd</w:t>
      </w:r>
      <w:proofErr w:type="spellEnd"/>
      <w:r w:rsidRPr="00EC5330">
        <w:rPr>
          <w:rFonts w:ascii="Arial" w:hAnsi="Arial" w:cs="Arial"/>
          <w:b/>
          <w:color w:val="000000" w:themeColor="text1"/>
        </w:rPr>
        <w:t xml:space="preserve"> was infused into mice via jugular vein cannula.</w:t>
      </w:r>
      <w:r w:rsidRPr="00EC5330">
        <w:rPr>
          <w:rFonts w:ascii="Arial" w:hAnsi="Arial" w:cs="Arial"/>
          <w:color w:val="000000" w:themeColor="text1"/>
        </w:rPr>
        <w:t xml:space="preserve"> Serum samples were collected before adiponectin infusion (0min) as well as right after within 2 min. (A) The serum samples were separated in SDS-PAGE gel and scanned it with </w:t>
      </w:r>
      <w:proofErr w:type="spellStart"/>
      <w:r w:rsidRPr="00EC5330">
        <w:rPr>
          <w:rFonts w:ascii="Arial" w:hAnsi="Arial" w:cs="Arial"/>
          <w:color w:val="000000" w:themeColor="text1"/>
        </w:rPr>
        <w:t>LiCor</w:t>
      </w:r>
      <w:proofErr w:type="spellEnd"/>
      <w:r w:rsidRPr="00EC5330">
        <w:rPr>
          <w:rFonts w:ascii="Arial" w:hAnsi="Arial" w:cs="Arial"/>
          <w:color w:val="000000" w:themeColor="text1"/>
        </w:rPr>
        <w:t xml:space="preserve"> imager. 3 forms of labeled adiponectin were only detected from 2min samples with no different level of fluorescence intensity from control vs STZD animals. (B) </w:t>
      </w:r>
      <w:r w:rsidRPr="00EC5330">
        <w:rPr>
          <w:rFonts w:ascii="Arial" w:eastAsia="Batang" w:hAnsi="Arial" w:cs="Arial"/>
          <w:color w:val="000000" w:themeColor="text1"/>
        </w:rPr>
        <w:t xml:space="preserve">Before labeled-adiponectin infusion, basal level of circulatory adiponectin amount was compared from control and diabetic, 4 days post induced from 150μg/g STZ injection by </w:t>
      </w:r>
      <w:proofErr w:type="spellStart"/>
      <w:r w:rsidRPr="00EC5330">
        <w:rPr>
          <w:rFonts w:ascii="Arial" w:eastAsia="Batang" w:hAnsi="Arial" w:cs="Arial"/>
          <w:color w:val="000000" w:themeColor="text1"/>
        </w:rPr>
        <w:t>i.p.</w:t>
      </w:r>
      <w:proofErr w:type="spellEnd"/>
      <w:r w:rsidRPr="00EC5330">
        <w:rPr>
          <w:rFonts w:ascii="Arial" w:eastAsia="Batang" w:hAnsi="Arial" w:cs="Arial"/>
          <w:color w:val="000000" w:themeColor="text1"/>
        </w:rPr>
        <w:t xml:space="preserve">, individuals (n&gt;3). Serum level of adiponectin was measured by ELISA. </w:t>
      </w:r>
      <w:r w:rsidRPr="00EC5330">
        <w:rPr>
          <w:rFonts w:ascii="Arial" w:hAnsi="Arial" w:cs="Arial"/>
          <w:color w:val="000000" w:themeColor="text1"/>
        </w:rPr>
        <w:t>At the same time, the total adiponectin level from the serum showed no changes in STZD mice comparing to control after labeled adiponectin infusion (at 2min).</w:t>
      </w:r>
    </w:p>
    <w:p w14:paraId="438E6001" w14:textId="77777777" w:rsidR="005432D0" w:rsidRPr="00EC5330" w:rsidRDefault="005432D0" w:rsidP="005432D0">
      <w:pPr>
        <w:spacing w:line="360" w:lineRule="auto"/>
        <w:jc w:val="both"/>
        <w:rPr>
          <w:rFonts w:ascii="Arial" w:hAnsi="Arial" w:cs="Arial"/>
          <w:color w:val="000000" w:themeColor="text1"/>
        </w:rPr>
      </w:pPr>
    </w:p>
    <w:p w14:paraId="4805E110" w14:textId="77777777" w:rsidR="005432D0" w:rsidRPr="00EC5330" w:rsidRDefault="005432D0" w:rsidP="005432D0">
      <w:pPr>
        <w:spacing w:line="360" w:lineRule="auto"/>
        <w:jc w:val="both"/>
        <w:rPr>
          <w:rFonts w:ascii="Arial" w:eastAsia="Batang" w:hAnsi="Arial" w:cs="Arial"/>
          <w:color w:val="000000" w:themeColor="text1"/>
        </w:rPr>
      </w:pPr>
      <w:r w:rsidRPr="00EC5330">
        <w:rPr>
          <w:rFonts w:ascii="Arial" w:hAnsi="Arial" w:cs="Arial"/>
          <w:b/>
          <w:color w:val="000000" w:themeColor="text1"/>
        </w:rPr>
        <w:t xml:space="preserve">Sup Figure 3. </w:t>
      </w:r>
      <w:r w:rsidRPr="00EC5330">
        <w:rPr>
          <w:rFonts w:ascii="Arial" w:eastAsia="Batang" w:hAnsi="Arial" w:cs="Arial"/>
          <w:b/>
          <w:color w:val="000000" w:themeColor="text1"/>
        </w:rPr>
        <w:t>FMT 2500 system could monitor biodistribution of VT750 over time in a mouse.</w:t>
      </w:r>
      <w:r w:rsidRPr="00EC5330">
        <w:rPr>
          <w:rFonts w:ascii="Arial" w:eastAsia="Batang" w:hAnsi="Arial" w:cs="Arial"/>
          <w:color w:val="000000" w:themeColor="text1"/>
        </w:rPr>
        <w:t xml:space="preserve">  To validate feasibility of biodistribution monitoring with NIR probe, 2 nmol of protein free VT750 only was infused into mouse via tail vein and imaging with FMT was taken at 0, 10, 30, 60, and 90 min. The pattern of VT750’s circulation and accumulation </w:t>
      </w:r>
      <w:proofErr w:type="gramStart"/>
      <w:r w:rsidRPr="00EC5330">
        <w:rPr>
          <w:rFonts w:ascii="Arial" w:eastAsia="Batang" w:hAnsi="Arial" w:cs="Arial"/>
          <w:color w:val="000000" w:themeColor="text1"/>
        </w:rPr>
        <w:t>was</w:t>
      </w:r>
      <w:proofErr w:type="gramEnd"/>
      <w:r w:rsidRPr="00EC5330">
        <w:rPr>
          <w:rFonts w:ascii="Arial" w:eastAsia="Batang" w:hAnsi="Arial" w:cs="Arial"/>
          <w:color w:val="000000" w:themeColor="text1"/>
        </w:rPr>
        <w:t xml:space="preserve"> observed.</w:t>
      </w:r>
    </w:p>
    <w:p w14:paraId="24980B1D" w14:textId="77777777" w:rsidR="005432D0" w:rsidRPr="00EC5330" w:rsidRDefault="005432D0" w:rsidP="005432D0">
      <w:pPr>
        <w:pStyle w:val="a"/>
        <w:wordWrap/>
        <w:spacing w:line="360" w:lineRule="auto"/>
        <w:rPr>
          <w:rFonts w:ascii="Arial" w:hAnsi="Arial" w:cs="Arial"/>
          <w:b/>
          <w:color w:val="000000" w:themeColor="text1"/>
          <w:sz w:val="22"/>
          <w:szCs w:val="22"/>
        </w:rPr>
      </w:pPr>
    </w:p>
    <w:p w14:paraId="77EF2B60" w14:textId="77777777" w:rsidR="005432D0" w:rsidRPr="00EC5330" w:rsidRDefault="005432D0" w:rsidP="005432D0">
      <w:pPr>
        <w:spacing w:line="360" w:lineRule="auto"/>
        <w:jc w:val="both"/>
        <w:rPr>
          <w:rFonts w:ascii="Arial" w:hAnsi="Arial" w:cs="Arial"/>
          <w:b/>
          <w:color w:val="000000" w:themeColor="text1"/>
        </w:rPr>
      </w:pPr>
      <w:r w:rsidRPr="00EC5330">
        <w:rPr>
          <w:rFonts w:ascii="Arial" w:hAnsi="Arial" w:cs="Arial"/>
          <w:b/>
          <w:color w:val="000000" w:themeColor="text1"/>
        </w:rPr>
        <w:lastRenderedPageBreak/>
        <w:t>Sup Figure 4. Hyperglycemia did not change adiponectin receptors.</w:t>
      </w:r>
      <w:r w:rsidRPr="00EC5330">
        <w:rPr>
          <w:rFonts w:ascii="Arial" w:hAnsi="Arial" w:cs="Arial"/>
          <w:color w:val="000000" w:themeColor="text1"/>
        </w:rPr>
        <w:t xml:space="preserve"> In mouse hearts, STZ-induced </w:t>
      </w:r>
      <w:proofErr w:type="spellStart"/>
      <w:r w:rsidRPr="00EC5330">
        <w:rPr>
          <w:rFonts w:ascii="Arial" w:hAnsi="Arial" w:cs="Arial"/>
          <w:color w:val="000000" w:themeColor="text1"/>
        </w:rPr>
        <w:t>hyperglycemina</w:t>
      </w:r>
      <w:proofErr w:type="spellEnd"/>
      <w:r w:rsidRPr="00EC5330">
        <w:rPr>
          <w:rFonts w:ascii="Arial" w:hAnsi="Arial" w:cs="Arial"/>
          <w:color w:val="000000" w:themeColor="text1"/>
        </w:rPr>
        <w:t xml:space="preserve"> did not change AdipoR1 and AdipoR2 (A) mRNA and (B) protein expression.</w:t>
      </w:r>
      <w:r w:rsidRPr="00EC5330">
        <w:rPr>
          <w:rFonts w:ascii="Arial" w:hAnsi="Arial" w:cs="Arial"/>
          <w:b/>
          <w:color w:val="000000" w:themeColor="text1"/>
        </w:rPr>
        <w:t xml:space="preserve"> (C) </w:t>
      </w:r>
      <w:r w:rsidRPr="00EC5330">
        <w:rPr>
          <w:rFonts w:ascii="Arial" w:hAnsi="Arial" w:cs="Arial"/>
          <w:color w:val="000000" w:themeColor="text1"/>
        </w:rPr>
        <w:t>As same as HDMEC, expression of adiponectin receptors (AdipoR1 and AdipoR2) were not changed in between hyperglycemia and control. (n=4)</w:t>
      </w:r>
    </w:p>
    <w:p w14:paraId="2D600BE5" w14:textId="77777777" w:rsidR="005432D0" w:rsidRPr="00EC5330" w:rsidRDefault="005432D0" w:rsidP="005432D0">
      <w:pPr>
        <w:pStyle w:val="a"/>
        <w:wordWrap/>
        <w:spacing w:line="360" w:lineRule="auto"/>
        <w:rPr>
          <w:rFonts w:ascii="Arial" w:hAnsi="Arial" w:cs="Arial"/>
          <w:b/>
          <w:color w:val="000000" w:themeColor="text1"/>
          <w:sz w:val="22"/>
          <w:szCs w:val="22"/>
        </w:rPr>
      </w:pPr>
    </w:p>
    <w:p w14:paraId="58B51A25" w14:textId="77777777" w:rsidR="005432D0" w:rsidRPr="00EC5330" w:rsidRDefault="005432D0" w:rsidP="005432D0">
      <w:pPr>
        <w:spacing w:line="360" w:lineRule="auto"/>
        <w:jc w:val="both"/>
        <w:rPr>
          <w:rFonts w:ascii="Arial" w:hAnsi="Arial" w:cs="Arial"/>
          <w:color w:val="000000" w:themeColor="text1"/>
        </w:rPr>
      </w:pPr>
      <w:r w:rsidRPr="00EC5330">
        <w:rPr>
          <w:rFonts w:ascii="Arial" w:hAnsi="Arial" w:cs="Arial"/>
          <w:b/>
          <w:color w:val="000000" w:themeColor="text1"/>
        </w:rPr>
        <w:t xml:space="preserve">Sup Figure 5. Vasculature of HUVECs on a chip. </w:t>
      </w:r>
      <w:r w:rsidRPr="00EC5330">
        <w:rPr>
          <w:rFonts w:ascii="Arial" w:hAnsi="Arial" w:cs="Arial"/>
          <w:color w:val="000000" w:themeColor="text1"/>
        </w:rPr>
        <w:t xml:space="preserve">VE-Cadherin(red) was stained with </w:t>
      </w:r>
      <w:proofErr w:type="gramStart"/>
      <w:r w:rsidRPr="00EC5330">
        <w:rPr>
          <w:rFonts w:ascii="Arial" w:hAnsi="Arial" w:cs="Arial"/>
          <w:color w:val="000000" w:themeColor="text1"/>
        </w:rPr>
        <w:t>DAPI(</w:t>
      </w:r>
      <w:proofErr w:type="gramEnd"/>
      <w:r w:rsidRPr="00EC5330">
        <w:rPr>
          <w:rFonts w:ascii="Arial" w:hAnsi="Arial" w:cs="Arial"/>
          <w:color w:val="000000" w:themeColor="text1"/>
        </w:rPr>
        <w:t xml:space="preserve">blue) after 96hr cell culture (at D4) with 50 ng/mL VEGF. </w:t>
      </w:r>
      <w:proofErr w:type="gramStart"/>
      <w:r w:rsidRPr="00EC5330">
        <w:rPr>
          <w:rFonts w:ascii="Arial" w:hAnsi="Arial" w:cs="Arial"/>
          <w:color w:val="000000" w:themeColor="text1"/>
        </w:rPr>
        <w:t>During</w:t>
      </w:r>
      <w:proofErr w:type="gramEnd"/>
      <w:r w:rsidRPr="00EC5330">
        <w:rPr>
          <w:rFonts w:ascii="Arial" w:hAnsi="Arial" w:cs="Arial"/>
          <w:color w:val="000000" w:themeColor="text1"/>
        </w:rPr>
        <w:t xml:space="preserve"> 4 days vasculature formation in hyperglycemia, the integrity of VE-C did not change when it compared to control in 2D endothelial monolayer of HUVECs as well as 3D </w:t>
      </w:r>
      <w:proofErr w:type="spellStart"/>
      <w:r w:rsidRPr="00EC5330">
        <w:rPr>
          <w:rFonts w:ascii="Arial" w:hAnsi="Arial" w:cs="Arial"/>
          <w:color w:val="000000" w:themeColor="text1"/>
        </w:rPr>
        <w:t>perfusable</w:t>
      </w:r>
      <w:proofErr w:type="spellEnd"/>
      <w:r w:rsidRPr="00EC5330">
        <w:rPr>
          <w:rFonts w:ascii="Arial" w:hAnsi="Arial" w:cs="Arial"/>
          <w:color w:val="000000" w:themeColor="text1"/>
        </w:rPr>
        <w:t xml:space="preserve"> vessels of HUVECs. All scale bars indicate 200 </w:t>
      </w:r>
      <w:proofErr w:type="spellStart"/>
      <w:r w:rsidRPr="00EC5330">
        <w:rPr>
          <w:rFonts w:ascii="Arial" w:hAnsi="Arial" w:cs="Arial"/>
          <w:color w:val="000000" w:themeColor="text1"/>
        </w:rPr>
        <w:t>μm</w:t>
      </w:r>
      <w:proofErr w:type="spellEnd"/>
      <w:r w:rsidRPr="00EC5330">
        <w:rPr>
          <w:rFonts w:ascii="Arial" w:hAnsi="Arial" w:cs="Arial"/>
          <w:color w:val="000000" w:themeColor="text1"/>
        </w:rPr>
        <w:t>.</w:t>
      </w:r>
    </w:p>
    <w:p w14:paraId="36B8E1FF" w14:textId="77777777" w:rsidR="005432D0" w:rsidRPr="00EC5330" w:rsidRDefault="005432D0" w:rsidP="005432D0">
      <w:pPr>
        <w:spacing w:line="360" w:lineRule="auto"/>
        <w:jc w:val="both"/>
        <w:rPr>
          <w:rFonts w:ascii="Arial" w:hAnsi="Arial" w:cs="Arial"/>
          <w:color w:val="000000" w:themeColor="text1"/>
        </w:rPr>
      </w:pPr>
    </w:p>
    <w:p w14:paraId="6DC2C455" w14:textId="77777777" w:rsidR="005432D0" w:rsidRPr="00EC5330" w:rsidRDefault="005432D0" w:rsidP="005432D0">
      <w:pPr>
        <w:spacing w:line="360" w:lineRule="auto"/>
        <w:jc w:val="both"/>
        <w:rPr>
          <w:rFonts w:ascii="Arial" w:hAnsi="Arial" w:cs="Arial"/>
          <w:b/>
          <w:color w:val="000000" w:themeColor="text1"/>
        </w:rPr>
      </w:pPr>
      <w:r w:rsidRPr="00EC5330">
        <w:rPr>
          <w:rFonts w:ascii="Arial" w:hAnsi="Arial" w:cs="Arial"/>
          <w:b/>
          <w:color w:val="000000" w:themeColor="text1"/>
        </w:rPr>
        <w:t xml:space="preserve">Sup Video 1. 3D reconstruction of FMT/CT co-registration for control mouse. </w:t>
      </w:r>
      <w:r w:rsidRPr="00EC5330">
        <w:rPr>
          <w:rFonts w:ascii="Arial" w:hAnsi="Arial" w:cs="Arial"/>
          <w:color w:val="000000" w:themeColor="text1"/>
        </w:rPr>
        <w:t xml:space="preserve">Vehicle only infused animal was used. FMT data from Infused VT-750 labeled </w:t>
      </w:r>
      <w:proofErr w:type="spellStart"/>
      <w:r w:rsidRPr="00EC5330">
        <w:rPr>
          <w:rFonts w:ascii="Arial" w:hAnsi="Arial" w:cs="Arial"/>
          <w:color w:val="000000" w:themeColor="text1"/>
        </w:rPr>
        <w:t>fAd</w:t>
      </w:r>
      <w:proofErr w:type="spellEnd"/>
      <w:r w:rsidRPr="00EC5330">
        <w:rPr>
          <w:rFonts w:ascii="Arial" w:hAnsi="Arial" w:cs="Arial"/>
          <w:color w:val="000000" w:themeColor="text1"/>
        </w:rPr>
        <w:t xml:space="preserve"> indicated in color, and computed tomography (CT) data shown in white/grey.</w:t>
      </w:r>
    </w:p>
    <w:p w14:paraId="63F2E2C5" w14:textId="77777777" w:rsidR="005432D0" w:rsidRPr="00EC5330" w:rsidRDefault="005432D0" w:rsidP="005432D0">
      <w:pPr>
        <w:spacing w:line="360" w:lineRule="auto"/>
        <w:jc w:val="both"/>
        <w:rPr>
          <w:rFonts w:ascii="Arial" w:hAnsi="Arial" w:cs="Arial"/>
          <w:b/>
          <w:color w:val="000000" w:themeColor="text1"/>
        </w:rPr>
      </w:pPr>
    </w:p>
    <w:p w14:paraId="77F27D00" w14:textId="77777777" w:rsidR="005432D0" w:rsidRPr="00EC5330" w:rsidRDefault="005432D0" w:rsidP="005432D0">
      <w:pPr>
        <w:spacing w:line="360" w:lineRule="auto"/>
        <w:jc w:val="both"/>
        <w:rPr>
          <w:rFonts w:ascii="Arial" w:hAnsi="Arial" w:cs="Arial"/>
          <w:color w:val="000000" w:themeColor="text1"/>
        </w:rPr>
      </w:pPr>
      <w:r w:rsidRPr="00EC5330">
        <w:rPr>
          <w:rFonts w:ascii="Arial" w:hAnsi="Arial" w:cs="Arial"/>
          <w:b/>
          <w:color w:val="000000" w:themeColor="text1"/>
        </w:rPr>
        <w:t xml:space="preserve">Sup Video 2. 3D reconstruction of FMT/CT co-registration for STZD mouse. </w:t>
      </w:r>
      <w:r w:rsidRPr="00EC5330">
        <w:rPr>
          <w:rFonts w:ascii="Arial" w:hAnsi="Arial" w:cs="Arial"/>
          <w:color w:val="000000" w:themeColor="text1"/>
        </w:rPr>
        <w:t xml:space="preserve">Rotated movie showed higher intensity of VT-750 labeled </w:t>
      </w:r>
      <w:proofErr w:type="spellStart"/>
      <w:r w:rsidRPr="00EC5330">
        <w:rPr>
          <w:rFonts w:ascii="Arial" w:hAnsi="Arial" w:cs="Arial"/>
          <w:color w:val="000000" w:themeColor="text1"/>
        </w:rPr>
        <w:t>fAd</w:t>
      </w:r>
      <w:proofErr w:type="spellEnd"/>
      <w:r w:rsidRPr="00EC5330">
        <w:rPr>
          <w:rFonts w:ascii="Arial" w:hAnsi="Arial" w:cs="Arial"/>
          <w:color w:val="000000" w:themeColor="text1"/>
        </w:rPr>
        <w:t xml:space="preserve"> (color) than control animal from FMT data. White/grey scale indicates CT data.  </w:t>
      </w:r>
    </w:p>
    <w:p w14:paraId="2CB2563F" w14:textId="77777777" w:rsidR="005432D0" w:rsidRPr="00EC5330" w:rsidRDefault="005432D0" w:rsidP="005432D0">
      <w:pPr>
        <w:spacing w:line="360" w:lineRule="auto"/>
        <w:jc w:val="both"/>
        <w:rPr>
          <w:rFonts w:ascii="Arial" w:hAnsi="Arial" w:cs="Arial"/>
          <w:b/>
          <w:color w:val="000000" w:themeColor="text1"/>
        </w:rPr>
      </w:pPr>
    </w:p>
    <w:p w14:paraId="50A3826E" w14:textId="77777777" w:rsidR="005432D0" w:rsidRPr="00EC5330" w:rsidRDefault="005432D0" w:rsidP="005432D0">
      <w:pPr>
        <w:spacing w:line="360" w:lineRule="auto"/>
        <w:jc w:val="both"/>
        <w:rPr>
          <w:rFonts w:ascii="Arial" w:hAnsi="Arial" w:cs="Arial"/>
          <w:color w:val="000000" w:themeColor="text1"/>
        </w:rPr>
      </w:pPr>
      <w:r w:rsidRPr="00EC5330">
        <w:rPr>
          <w:rFonts w:ascii="Arial" w:hAnsi="Arial" w:cs="Arial"/>
          <w:b/>
          <w:color w:val="000000" w:themeColor="text1"/>
        </w:rPr>
        <w:t xml:space="preserve">Sup Video 3. 3D </w:t>
      </w:r>
      <w:proofErr w:type="spellStart"/>
      <w:r w:rsidRPr="00EC5330">
        <w:rPr>
          <w:rFonts w:ascii="Arial" w:hAnsi="Arial" w:cs="Arial"/>
          <w:b/>
          <w:color w:val="000000" w:themeColor="text1"/>
        </w:rPr>
        <w:t>perfusable</w:t>
      </w:r>
      <w:proofErr w:type="spellEnd"/>
      <w:r w:rsidRPr="00EC5330">
        <w:rPr>
          <w:rFonts w:ascii="Arial" w:hAnsi="Arial" w:cs="Arial"/>
          <w:b/>
          <w:color w:val="000000" w:themeColor="text1"/>
        </w:rPr>
        <w:t xml:space="preserve"> vasculature of HUVECs. </w:t>
      </w:r>
      <w:r w:rsidRPr="00EC5330">
        <w:rPr>
          <w:rFonts w:ascii="Arial" w:hAnsi="Arial" w:cs="Arial"/>
          <w:color w:val="000000" w:themeColor="text1"/>
        </w:rPr>
        <w:t xml:space="preserve">The confocal reconstruction showed 3D microvasculature with VE-Cadherin (Red) and nucleus (DAPI, blue) staining, which has a </w:t>
      </w:r>
      <w:proofErr w:type="spellStart"/>
      <w:r w:rsidRPr="00EC5330">
        <w:rPr>
          <w:rFonts w:ascii="Arial" w:hAnsi="Arial" w:cs="Arial"/>
          <w:color w:val="000000" w:themeColor="text1"/>
        </w:rPr>
        <w:t>perfusable</w:t>
      </w:r>
      <w:proofErr w:type="spellEnd"/>
      <w:r w:rsidRPr="00EC5330">
        <w:rPr>
          <w:rFonts w:ascii="Arial" w:hAnsi="Arial" w:cs="Arial"/>
          <w:color w:val="000000" w:themeColor="text1"/>
        </w:rPr>
        <w:t xml:space="preserve"> lumen aligned with interconnected endothelial cells.</w:t>
      </w:r>
    </w:p>
    <w:p w14:paraId="2BCFA41B" w14:textId="77777777" w:rsidR="005432D0" w:rsidRPr="00EC5330" w:rsidRDefault="005432D0" w:rsidP="005432D0">
      <w:pPr>
        <w:spacing w:line="360" w:lineRule="auto"/>
        <w:jc w:val="both"/>
        <w:rPr>
          <w:rFonts w:ascii="Arial" w:hAnsi="Arial" w:cs="Arial"/>
          <w:b/>
          <w:color w:val="000000" w:themeColor="text1"/>
        </w:rPr>
      </w:pPr>
    </w:p>
    <w:p w14:paraId="57D77A19" w14:textId="77777777" w:rsidR="005432D0" w:rsidRPr="00EC5330" w:rsidRDefault="005432D0" w:rsidP="005432D0">
      <w:pPr>
        <w:spacing w:line="360" w:lineRule="auto"/>
        <w:jc w:val="both"/>
        <w:rPr>
          <w:rFonts w:ascii="Arial" w:hAnsi="Arial" w:cs="Arial"/>
          <w:color w:val="000000" w:themeColor="text1"/>
        </w:rPr>
      </w:pPr>
      <w:r w:rsidRPr="00EC5330">
        <w:rPr>
          <w:rFonts w:ascii="Arial" w:hAnsi="Arial" w:cs="Arial"/>
          <w:b/>
          <w:color w:val="000000" w:themeColor="text1"/>
        </w:rPr>
        <w:t xml:space="preserve">Sup Video 4. Perfusion of 5μm beads conjugated with FITC in microvascular network. </w:t>
      </w:r>
      <w:r w:rsidRPr="00EC5330">
        <w:rPr>
          <w:rFonts w:ascii="Arial" w:hAnsi="Arial" w:cs="Arial"/>
          <w:color w:val="000000" w:themeColor="text1"/>
        </w:rPr>
        <w:t>FITC polystyrene particles flow through the continuous 3D microvasculature.</w:t>
      </w:r>
    </w:p>
    <w:p w14:paraId="734EF246" w14:textId="15D6FDAD" w:rsidR="004039C5" w:rsidRDefault="005432D0"/>
    <w:sectPr w:rsidR="004039C5" w:rsidSect="003839DB">
      <w:footerReference w:type="even" r:id="rId4"/>
      <w:footerReference w:type="default" r:id="rId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함초롬바탕">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3E634" w14:textId="77777777" w:rsidR="00C03543" w:rsidRDefault="005432D0" w:rsidP="002A6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3198D" w14:textId="77777777" w:rsidR="00C03543" w:rsidRDefault="005432D0" w:rsidP="007221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580F9" w14:textId="77777777" w:rsidR="00C03543" w:rsidRDefault="005432D0" w:rsidP="002A6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7621B934" w14:textId="77777777" w:rsidR="00C03543" w:rsidRDefault="005432D0" w:rsidP="007221FE">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D0"/>
    <w:rsid w:val="005432D0"/>
    <w:rsid w:val="007A076C"/>
    <w:rsid w:val="00886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87B1"/>
  <w15:chartTrackingRefBased/>
  <w15:docId w15:val="{31B1F266-EB86-4083-9209-7D784E5E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432D0"/>
    <w:pPr>
      <w:tabs>
        <w:tab w:val="center" w:pos="4320"/>
        <w:tab w:val="right" w:pos="8640"/>
      </w:tabs>
      <w:spacing w:after="0" w:line="240" w:lineRule="auto"/>
    </w:pPr>
    <w:rPr>
      <w:rFonts w:eastAsiaTheme="minorEastAsia"/>
      <w:sz w:val="24"/>
      <w:szCs w:val="24"/>
      <w:lang w:val="en-US" w:eastAsia="ko-KR"/>
    </w:rPr>
  </w:style>
  <w:style w:type="character" w:customStyle="1" w:styleId="FooterChar">
    <w:name w:val="Footer Char"/>
    <w:basedOn w:val="DefaultParagraphFont"/>
    <w:link w:val="Footer"/>
    <w:uiPriority w:val="99"/>
    <w:rsid w:val="005432D0"/>
    <w:rPr>
      <w:rFonts w:eastAsiaTheme="minorEastAsia"/>
      <w:sz w:val="24"/>
      <w:szCs w:val="24"/>
      <w:lang w:val="en-US" w:eastAsia="ko-KR"/>
    </w:rPr>
  </w:style>
  <w:style w:type="character" w:styleId="PageNumber">
    <w:name w:val="page number"/>
    <w:basedOn w:val="DefaultParagraphFont"/>
    <w:uiPriority w:val="99"/>
    <w:semiHidden/>
    <w:unhideWhenUsed/>
    <w:rsid w:val="005432D0"/>
  </w:style>
  <w:style w:type="paragraph" w:customStyle="1" w:styleId="a">
    <w:name w:val="바탕글"/>
    <w:rsid w:val="005432D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zCs w:val="24"/>
      <w:shd w:val="clear" w:color="999999" w:fill="auto"/>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Dadson, Keith</dc:creator>
  <cp:keywords/>
  <dc:description/>
  <cp:lastModifiedBy>Dadson, Keith</cp:lastModifiedBy>
  <cp:revision>1</cp:revision>
  <dcterms:created xsi:type="dcterms:W3CDTF">2019-05-18T17:46:00Z</dcterms:created>
  <dcterms:modified xsi:type="dcterms:W3CDTF">2019-05-18T17:50:00Z</dcterms:modified>
</cp:coreProperties>
</file>