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Федеральное государственное бюджетное образовательное учреждение</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высшего образования</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«Новосибирский государственный технический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иностранных языков технических факультетов</w:t>
      </w:r>
    </w:p>
    <w:p>
      <w:pPr>
        <w:pStyle w:val="Normal"/>
        <w:spacing w:lineRule="auto" w:line="276" w:before="0" w:after="198"/>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198"/>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198"/>
        <w:jc w:val="center"/>
        <w:rPr/>
      </w:pPr>
      <w:r>
        <w:rPr>
          <w:rFonts w:cs="Times New Roman" w:ascii="Times New Roman" w:hAnsi="Times New Roman"/>
          <w:b/>
          <w:caps/>
          <w:sz w:val="28"/>
          <w:szCs w:val="28"/>
        </w:rPr>
        <w:t>Письменный перевод</w:t>
      </w:r>
    </w:p>
    <w:p>
      <w:pPr>
        <w:pStyle w:val="Normal"/>
        <w:spacing w:lineRule="auto" w:line="276" w:before="0" w:after="198"/>
        <w:jc w:val="center"/>
        <w:rPr/>
      </w:pPr>
      <w:r>
        <w:rPr>
          <w:rFonts w:cs="Times New Roman" w:ascii="Times New Roman" w:hAnsi="Times New Roman"/>
          <w:sz w:val="28"/>
          <w:szCs w:val="28"/>
        </w:rPr>
        <w:t>по дисциплине «Иностранный язык»</w:t>
      </w:r>
    </w:p>
    <w:p>
      <w:pPr>
        <w:pStyle w:val="Normal"/>
        <w:spacing w:lineRule="auto" w:line="276" w:before="0" w:after="198"/>
        <w:jc w:val="center"/>
        <w:rPr/>
      </w:pPr>
      <w:r>
        <w:rPr>
          <w:rFonts w:cs="Times New Roman" w:ascii="Times New Roman" w:hAnsi="Times New Roman"/>
          <w:sz w:val="28"/>
          <w:szCs w:val="28"/>
        </w:rPr>
        <w:t xml:space="preserve">Тема: </w:t>
      </w:r>
      <w:r>
        <w:rPr>
          <w:rFonts w:cs="Times New Roman" w:ascii="Times New Roman" w:hAnsi="Times New Roman"/>
          <w:b w:val="false"/>
          <w:bCs w:val="false"/>
          <w:color w:val="000000"/>
          <w:sz w:val="28"/>
          <w:szCs w:val="28"/>
          <w:u w:val="none"/>
          <w:lang w:val="en-US"/>
        </w:rPr>
        <w:t>Predicting Customer Churn for Insurance Data</w:t>
      </w:r>
    </w:p>
    <w:p>
      <w:pPr>
        <w:pStyle w:val="Normal"/>
        <w:spacing w:lineRule="auto" w:line="276" w:before="0" w:after="198"/>
        <w:jc w:val="right"/>
        <w:rPr/>
      </w:pPr>
      <w:r>
        <w:rPr>
          <w:rFonts w:cs="Times New Roman" w:ascii="Times New Roman" w:hAnsi="Times New Roman"/>
          <w:sz w:val="28"/>
          <w:szCs w:val="28"/>
        </w:rPr>
        <w:t>Рецензия:____________________________</w:t>
      </w:r>
    </w:p>
    <w:p>
      <w:pPr>
        <w:pStyle w:val="Normal"/>
        <w:spacing w:lineRule="auto" w:line="276" w:before="0" w:after="198"/>
        <w:jc w:val="right"/>
        <w:rPr/>
      </w:pPr>
      <w:r>
        <w:rPr>
          <w:rFonts w:cs="Times New Roman" w:ascii="Times New Roman" w:hAnsi="Times New Roman"/>
          <w:sz w:val="28"/>
          <w:szCs w:val="28"/>
        </w:rPr>
        <w:t>____________________________</w:t>
      </w:r>
    </w:p>
    <w:p>
      <w:pPr>
        <w:pStyle w:val="Normal"/>
        <w:spacing w:lineRule="auto" w:line="276" w:before="0" w:after="198"/>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tbl>
      <w:tblPr>
        <w:tblStyle w:val="a3"/>
        <w:tblW w:w="9571"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785"/>
        <w:gridCol w:w="4785"/>
      </w:tblGrid>
      <w:tr>
        <w:trPr/>
        <w:tc>
          <w:tcPr>
            <w:tcW w:w="4785"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Выполнил:</w:t>
            </w:r>
          </w:p>
          <w:p>
            <w:pPr>
              <w:pStyle w:val="Normal"/>
              <w:widowControl w:val="false"/>
              <w:suppressAutoHyphens w:val="true"/>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Студент: Сухих А.С.</w:t>
            </w:r>
          </w:p>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Группа: ПММ-21</w:t>
            </w:r>
          </w:p>
          <w:p>
            <w:pPr>
              <w:pStyle w:val="Normal"/>
              <w:widowControl w:val="false"/>
              <w:suppressAutoHyphens w:val="true"/>
              <w:spacing w:lineRule="auto" w:line="360" w:before="0" w:after="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val="false"/>
              <w:suppressAutoHyphens w:val="true"/>
              <w:spacing w:lineRule="auto" w:line="360" w:before="0" w:after="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____________________</w:t>
            </w:r>
          </w:p>
          <w:p>
            <w:pPr>
              <w:pStyle w:val="Normal"/>
              <w:widowControl w:val="false"/>
              <w:suppressAutoHyphens w:val="true"/>
              <w:spacing w:lineRule="auto" w:line="240" w:before="0" w:after="0"/>
              <w:jc w:val="left"/>
              <w:rPr>
                <w:rFonts w:ascii="Times New Roman" w:hAnsi="Times New Roman" w:cs="Times New Roman"/>
                <w:sz w:val="28"/>
                <w:szCs w:val="28"/>
                <w:vertAlign w:val="superscript"/>
              </w:rPr>
            </w:pPr>
            <w:r>
              <w:rPr>
                <w:rFonts w:eastAsia="Calibri" w:cs="Times New Roman" w:ascii="Times New Roman" w:hAnsi="Times New Roman"/>
                <w:kern w:val="0"/>
                <w:sz w:val="28"/>
                <w:szCs w:val="28"/>
                <w:vertAlign w:val="superscript"/>
                <w:lang w:val="ru-RU" w:eastAsia="en-US" w:bidi="ar-SA"/>
              </w:rPr>
              <w:t xml:space="preserve">                           </w:t>
            </w:r>
            <w:r>
              <w:rPr>
                <w:rFonts w:eastAsia="Calibri" w:cs="Times New Roman" w:ascii="Times New Roman" w:hAnsi="Times New Roman"/>
                <w:kern w:val="0"/>
                <w:sz w:val="28"/>
                <w:szCs w:val="28"/>
                <w:vertAlign w:val="superscript"/>
                <w:lang w:val="ru-RU" w:eastAsia="en-US" w:bidi="ar-SA"/>
              </w:rPr>
              <w:t>подпись</w:t>
            </w:r>
          </w:p>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«_____»________________20___г.</w:t>
            </w:r>
          </w:p>
        </w:tc>
        <w:tc>
          <w:tcPr>
            <w:tcW w:w="4785"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Проверил:</w:t>
            </w:r>
          </w:p>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Преподаватель: Балобанова А.Г.</w:t>
            </w:r>
          </w:p>
          <w:p>
            <w:pPr>
              <w:pStyle w:val="Normal"/>
              <w:widowControl w:val="false"/>
              <w:suppressAutoHyphens w:val="true"/>
              <w:spacing w:lineRule="auto" w:line="360" w:before="0" w:after="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Балл: ________ , </w:t>
            </w:r>
            <w:r>
              <w:rPr>
                <w:rFonts w:eastAsia="Calibri" w:cs="Times New Roman" w:ascii="Times New Roman" w:hAnsi="Times New Roman"/>
                <w:kern w:val="0"/>
                <w:sz w:val="28"/>
                <w:szCs w:val="28"/>
                <w:lang w:val="en-US" w:eastAsia="en-US" w:bidi="ar-SA"/>
              </w:rPr>
              <w:t>ECTS</w:t>
            </w:r>
            <w:r>
              <w:rPr>
                <w:rFonts w:eastAsia="Calibri" w:cs="Times New Roman" w:ascii="Times New Roman" w:hAnsi="Times New Roman"/>
                <w:kern w:val="0"/>
                <w:sz w:val="28"/>
                <w:szCs w:val="28"/>
                <w:lang w:val="ru-RU" w:eastAsia="en-US" w:bidi="ar-SA"/>
              </w:rPr>
              <w:t>___________</w:t>
            </w:r>
          </w:p>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Оценка _______________________</w:t>
            </w:r>
          </w:p>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_____________________</w:t>
            </w:r>
          </w:p>
          <w:p>
            <w:pPr>
              <w:pStyle w:val="Normal"/>
              <w:widowControl w:val="false"/>
              <w:suppressAutoHyphens w:val="true"/>
              <w:spacing w:lineRule="auto" w:line="240" w:before="0" w:after="0"/>
              <w:jc w:val="left"/>
              <w:rPr>
                <w:rFonts w:ascii="Times New Roman" w:hAnsi="Times New Roman" w:cs="Times New Roman"/>
                <w:sz w:val="28"/>
                <w:szCs w:val="28"/>
                <w:vertAlign w:val="superscript"/>
              </w:rPr>
            </w:pPr>
            <w:r>
              <w:rPr>
                <w:rFonts w:eastAsia="Calibri" w:cs="Times New Roman" w:ascii="Times New Roman" w:hAnsi="Times New Roman"/>
                <w:kern w:val="0"/>
                <w:sz w:val="28"/>
                <w:szCs w:val="28"/>
                <w:vertAlign w:val="superscript"/>
                <w:lang w:val="ru-RU" w:eastAsia="en-US" w:bidi="ar-SA"/>
              </w:rPr>
              <w:t xml:space="preserve">                              </w:t>
            </w:r>
            <w:r>
              <w:rPr>
                <w:rFonts w:eastAsia="Calibri" w:cs="Times New Roman" w:ascii="Times New Roman" w:hAnsi="Times New Roman"/>
                <w:kern w:val="0"/>
                <w:sz w:val="28"/>
                <w:szCs w:val="28"/>
                <w:vertAlign w:val="superscript"/>
                <w:lang w:val="ru-RU" w:eastAsia="en-US" w:bidi="ar-SA"/>
              </w:rPr>
              <w:t>подпись</w:t>
            </w:r>
          </w:p>
          <w:p>
            <w:pPr>
              <w:pStyle w:val="Normal"/>
              <w:widowControl w:val="false"/>
              <w:suppressAutoHyphens w:val="true"/>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«____»______________20___г.</w:t>
            </w:r>
          </w:p>
        </w:tc>
      </w:tr>
    </w:tbl>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Новосибирск   2022</w:t>
      </w:r>
      <w:bookmarkStart w:id="0" w:name="_GoBack"/>
      <w:bookmarkEnd w:id="0"/>
    </w:p>
    <w:p>
      <w:pPr>
        <w:pStyle w:val="Normal"/>
        <w:bidi w:val="0"/>
        <w:ind w:left="0" w:right="0" w:firstLine="709"/>
        <w:jc w:val="center"/>
        <w:rPr>
          <w:rFonts w:ascii="Times New Roman" w:hAnsi="Times New Roman"/>
          <w:b/>
          <w:b/>
          <w:bCs/>
          <w:sz w:val="28"/>
          <w:szCs w:val="28"/>
          <w:lang w:val="en-US"/>
        </w:rPr>
      </w:pPr>
      <w:r>
        <w:rPr/>
      </w:r>
    </w:p>
    <w:p>
      <w:pPr>
        <w:pStyle w:val="Normal"/>
        <w:bidi w:val="0"/>
        <w:spacing w:lineRule="auto" w:line="360" w:before="0" w:after="0"/>
        <w:ind w:left="0" w:right="0" w:firstLine="709"/>
        <w:jc w:val="center"/>
        <w:rPr>
          <w:sz w:val="28"/>
          <w:szCs w:val="28"/>
        </w:rPr>
      </w:pPr>
      <w:r>
        <w:rPr>
          <w:rFonts w:ascii="Times New Roman" w:hAnsi="Times New Roman"/>
          <w:b/>
          <w:bCs/>
          <w:sz w:val="28"/>
          <w:szCs w:val="28"/>
          <w:lang w:val="en-US"/>
        </w:rPr>
        <w:t>Predicting Customer Churn for Insurance Data</w:t>
      </w:r>
    </w:p>
    <w:p>
      <w:pPr>
        <w:pStyle w:val="TextBody"/>
        <w:bidi w:val="0"/>
        <w:spacing w:lineRule="auto" w:line="360" w:before="0" w:after="0"/>
        <w:ind w:left="1817" w:right="636" w:hanging="0"/>
        <w:jc w:val="center"/>
        <w:rPr>
          <w:sz w:val="28"/>
          <w:szCs w:val="28"/>
        </w:rPr>
      </w:pPr>
      <w:r>
        <w:rPr>
          <w:rFonts w:ascii="Times New Roman" w:hAnsi="Times New Roman"/>
          <w:w w:val="105"/>
          <w:sz w:val="28"/>
          <w:szCs w:val="28"/>
          <w:lang w:val="en-US"/>
        </w:rPr>
        <w:t>Michael</w:t>
      </w:r>
      <w:r>
        <w:rPr>
          <w:rFonts w:ascii="Times New Roman" w:hAnsi="Times New Roman"/>
          <w:spacing w:val="28"/>
          <w:w w:val="105"/>
          <w:sz w:val="28"/>
          <w:szCs w:val="28"/>
          <w:lang w:val="en-US"/>
        </w:rPr>
        <w:t xml:space="preserve"> </w:t>
      </w:r>
      <w:r>
        <w:rPr>
          <w:rFonts w:ascii="Times New Roman" w:hAnsi="Times New Roman"/>
          <w:w w:val="105"/>
          <w:sz w:val="28"/>
          <w:szCs w:val="28"/>
          <w:lang w:val="en-US"/>
        </w:rPr>
        <w:t>Scriney,</w:t>
      </w:r>
      <w:r>
        <w:rPr>
          <w:rFonts w:ascii="Times New Roman" w:hAnsi="Times New Roman"/>
          <w:spacing w:val="28"/>
          <w:w w:val="105"/>
          <w:sz w:val="28"/>
          <w:szCs w:val="28"/>
          <w:lang w:val="en-US"/>
        </w:rPr>
        <w:t xml:space="preserve"> </w:t>
      </w:r>
      <w:r>
        <w:rPr>
          <w:rFonts w:ascii="Times New Roman" w:hAnsi="Times New Roman"/>
          <w:w w:val="105"/>
          <w:sz w:val="28"/>
          <w:szCs w:val="28"/>
          <w:lang w:val="en-US"/>
        </w:rPr>
        <w:t>Dongyun</w:t>
      </w:r>
      <w:r>
        <w:rPr>
          <w:rFonts w:ascii="Times New Roman" w:hAnsi="Times New Roman"/>
          <w:spacing w:val="28"/>
          <w:w w:val="105"/>
          <w:sz w:val="28"/>
          <w:szCs w:val="28"/>
          <w:lang w:val="en-US"/>
        </w:rPr>
        <w:t xml:space="preserve"> </w:t>
      </w:r>
      <w:r>
        <w:rPr>
          <w:rFonts w:ascii="Times New Roman" w:hAnsi="Times New Roman"/>
          <w:w w:val="105"/>
          <w:sz w:val="28"/>
          <w:szCs w:val="28"/>
          <w:lang w:val="en-US"/>
        </w:rPr>
        <w:t>Nie,</w:t>
      </w:r>
      <w:r>
        <w:rPr>
          <w:rFonts w:ascii="Times New Roman" w:hAnsi="Times New Roman"/>
          <w:spacing w:val="28"/>
          <w:w w:val="105"/>
          <w:sz w:val="28"/>
          <w:szCs w:val="28"/>
          <w:lang w:val="en-US"/>
        </w:rPr>
        <w:t xml:space="preserve"> </w:t>
      </w:r>
      <w:r>
        <w:rPr>
          <w:rFonts w:ascii="Times New Roman" w:hAnsi="Times New Roman"/>
          <w:w w:val="105"/>
          <w:sz w:val="28"/>
          <w:szCs w:val="28"/>
          <w:lang w:val="en-US"/>
        </w:rPr>
        <w:t>and</w:t>
      </w:r>
      <w:r>
        <w:rPr>
          <w:rFonts w:ascii="Times New Roman" w:hAnsi="Times New Roman"/>
          <w:spacing w:val="28"/>
          <w:w w:val="105"/>
          <w:sz w:val="28"/>
          <w:szCs w:val="28"/>
          <w:lang w:val="en-US"/>
        </w:rPr>
        <w:t xml:space="preserve"> </w:t>
      </w:r>
      <w:r>
        <w:rPr>
          <w:rFonts w:ascii="Times New Roman" w:hAnsi="Times New Roman"/>
          <w:w w:val="105"/>
          <w:sz w:val="28"/>
          <w:szCs w:val="28"/>
          <w:lang w:val="en-US"/>
        </w:rPr>
        <w:t>Mark</w:t>
      </w:r>
      <w:r>
        <w:rPr>
          <w:rFonts w:ascii="Times New Roman" w:hAnsi="Times New Roman"/>
          <w:spacing w:val="28"/>
          <w:w w:val="105"/>
          <w:sz w:val="28"/>
          <w:szCs w:val="28"/>
          <w:lang w:val="en-US"/>
        </w:rPr>
        <w:t xml:space="preserve"> </w:t>
      </w:r>
      <w:r>
        <w:rPr>
          <w:rFonts w:ascii="Times New Roman" w:hAnsi="Times New Roman"/>
          <w:w w:val="105"/>
          <w:sz w:val="28"/>
          <w:szCs w:val="28"/>
          <w:lang w:val="en-US"/>
        </w:rPr>
        <w:t>Roantree</w:t>
      </w:r>
    </w:p>
    <w:p>
      <w:pPr>
        <w:pStyle w:val="TextBody"/>
        <w:bidi w:val="0"/>
        <w:spacing w:lineRule="auto" w:line="360" w:before="0" w:after="0"/>
        <w:ind w:left="1817" w:right="636" w:hanging="0"/>
        <w:jc w:val="center"/>
        <w:rPr>
          <w:sz w:val="28"/>
          <w:szCs w:val="28"/>
        </w:rPr>
      </w:pPr>
      <w:r>
        <w:rPr>
          <w:rFonts w:ascii="Times New Roman" w:hAnsi="Times New Roman"/>
          <w:b w:val="false"/>
          <w:bCs w:val="false"/>
          <w:sz w:val="28"/>
          <w:szCs w:val="28"/>
          <w:lang w:val="en-US" w:eastAsia="zh-CN" w:bidi="hi-IN"/>
        </w:rPr>
        <w:t>Dublin City University, Ireland</w:t>
      </w:r>
    </w:p>
    <w:p>
      <w:pPr>
        <w:pStyle w:val="Normal"/>
        <w:bidi w:val="0"/>
        <w:spacing w:lineRule="auto" w:line="360" w:before="0" w:after="0"/>
        <w:ind w:left="0" w:right="0" w:firstLine="709"/>
        <w:jc w:val="center"/>
        <w:rPr>
          <w:sz w:val="28"/>
          <w:szCs w:val="28"/>
          <w:lang w:val="ru-RU" w:eastAsia="zh-CN" w:bidi="hi-IN"/>
        </w:rPr>
      </w:pPr>
      <w:r>
        <w:rPr>
          <w:sz w:val="28"/>
          <w:szCs w:val="28"/>
          <w:lang w:val="ru-RU" w:eastAsia="zh-CN" w:bidi="hi-IN"/>
        </w:rPr>
        <w:drawing>
          <wp:anchor behindDoc="0" distT="0" distB="0" distL="0" distR="0" simplePos="0" locked="0" layoutInCell="0" allowOverlap="1" relativeHeight="2">
            <wp:simplePos x="0" y="0"/>
            <wp:positionH relativeFrom="column">
              <wp:posOffset>1237615</wp:posOffset>
            </wp:positionH>
            <wp:positionV relativeFrom="paragraph">
              <wp:posOffset>107950</wp:posOffset>
            </wp:positionV>
            <wp:extent cx="3693795" cy="196977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93795" cy="1969770"/>
                    </a:xfrm>
                    <a:prstGeom prst="rect">
                      <a:avLst/>
                    </a:prstGeom>
                  </pic:spPr>
                </pic:pic>
              </a:graphicData>
            </a:graphic>
          </wp:anchor>
        </w:drawing>
      </w:r>
    </w:p>
    <w:p>
      <w:pPr>
        <w:pStyle w:val="Normal"/>
        <w:bidi w:val="0"/>
        <w:spacing w:lineRule="auto" w:line="360" w:before="0" w:after="0"/>
        <w:ind w:left="0" w:right="0" w:firstLine="709"/>
        <w:jc w:val="both"/>
        <w:rPr>
          <w:sz w:val="28"/>
          <w:szCs w:val="28"/>
        </w:rPr>
      </w:pPr>
      <w:r>
        <w:rPr>
          <w:rFonts w:ascii="Times New Roman" w:hAnsi="Times New Roman"/>
          <w:b/>
          <w:bCs/>
          <w:sz w:val="28"/>
          <w:szCs w:val="28"/>
          <w:lang w:val="en-US"/>
        </w:rPr>
        <w:t>3. Data Transformations</w:t>
      </w:r>
    </w:p>
    <w:p>
      <w:pPr>
        <w:pStyle w:val="Normal"/>
        <w:bidi w:val="0"/>
        <w:spacing w:lineRule="auto" w:line="360" w:before="0" w:after="0"/>
        <w:ind w:left="0" w:right="0" w:firstLine="709"/>
        <w:jc w:val="both"/>
        <w:rPr>
          <w:sz w:val="28"/>
          <w:szCs w:val="28"/>
        </w:rPr>
      </w:pPr>
      <w:r>
        <w:rPr>
          <w:rFonts w:ascii="Times New Roman" w:hAnsi="Times New Roman"/>
          <w:sz w:val="28"/>
          <w:szCs w:val="28"/>
          <w:lang w:val="en-US"/>
        </w:rPr>
        <w:t>In this section, we provide a brief outline of the Extract Transform Load (ETL) architecture but focus on those components which are novel to our architecture and crucial to imputing retention data. The dataset used in this work originated from our collaborator in the insurance sector. In this sector, transactions focused on selling policies and not on building customer profiles and thus, the Extract component in our architecture acquired approx. 500,000 insurance policies.</w:t>
      </w:r>
    </w:p>
    <w:p>
      <w:pPr>
        <w:pStyle w:val="Normal"/>
        <w:bidi w:val="0"/>
        <w:spacing w:lineRule="auto" w:line="360" w:before="0" w:after="0"/>
        <w:ind w:left="0" w:right="0" w:firstLine="709"/>
        <w:jc w:val="both"/>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both"/>
        <w:rPr>
          <w:sz w:val="28"/>
          <w:szCs w:val="28"/>
        </w:rPr>
      </w:pPr>
      <w:r>
        <w:rPr>
          <w:rFonts w:ascii="Times New Roman" w:hAnsi="Times New Roman"/>
          <w:b/>
          <w:bCs/>
          <w:sz w:val="28"/>
          <w:szCs w:val="28"/>
          <w:lang w:val="en-US"/>
        </w:rPr>
        <w:t>3.1 System Architecture</w:t>
      </w:r>
    </w:p>
    <w:p>
      <w:pPr>
        <w:pStyle w:val="Normal"/>
        <w:bidi w:val="0"/>
        <w:spacing w:lineRule="auto" w:line="360" w:before="0" w:after="0"/>
        <w:ind w:left="0" w:right="0" w:firstLine="709"/>
        <w:jc w:val="both"/>
        <w:rPr>
          <w:sz w:val="28"/>
          <w:szCs w:val="28"/>
        </w:rPr>
      </w:pPr>
      <w:r>
        <w:rPr>
          <w:rFonts w:ascii="Times New Roman" w:hAnsi="Times New Roman"/>
          <w:sz w:val="28"/>
          <w:szCs w:val="28"/>
          <w:lang w:val="en-US"/>
        </w:rPr>
        <w:t>An ETL pipeline comprises a series of components extracting data from input sources, transforming the data to match the system’s data model, and loading into a data mart (data cube) for reporting and analysis. Our approach, shown in figure 1, is a specialised form of ETL [14], due to the specific requirements of the task (customer lifetime value) and the nature of the data. In particular, this work began with a dataset that was policy-focused and not customer-focused. In effect, it was not suited to analysis by customer. Thus, the first step involved a process known as record linkage where, upon acquisition, data was pivoted to be customer-focused, where a customer record contained 1 or more policies. This work was presented in [10] and, while it provided a more holistic customer record, the data was not suited to the imputation algorithms necessary to impute the missing CLV variables. In addition, the dataset was still unclassified in terms of customer types (good, bad, average).</w:t>
      </w:r>
    </w:p>
    <w:p>
      <w:pPr>
        <w:pStyle w:val="Normal"/>
        <w:bidi w:val="0"/>
        <w:spacing w:lineRule="auto" w:line="360" w:before="0" w:after="0"/>
        <w:ind w:left="0" w:right="0" w:firstLine="709"/>
        <w:jc w:val="both"/>
        <w:rPr>
          <w:rFonts w:ascii="Times New Roman" w:hAnsi="Times New Roman"/>
          <w:sz w:val="28"/>
          <w:szCs w:val="28"/>
          <w:lang w:val="en-US"/>
        </w:rPr>
      </w:pPr>
      <w:r>
        <w:rPr>
          <w:rFonts w:ascii="Times New Roman" w:hAnsi="Times New Roman"/>
          <w:sz w:val="28"/>
          <w:szCs w:val="28"/>
          <w:lang w:val="en-US"/>
        </w:rPr>
      </w:r>
    </w:p>
    <w:p>
      <w:pPr>
        <w:pStyle w:val="Normal"/>
        <w:bidi w:val="0"/>
        <w:spacing w:lineRule="auto" w:line="360" w:before="0" w:after="0"/>
        <w:ind w:left="0" w:right="0" w:firstLine="709"/>
        <w:jc w:val="both"/>
        <w:rPr>
          <w:sz w:val="28"/>
          <w:szCs w:val="28"/>
        </w:rPr>
      </w:pPr>
      <w:r>
        <w:rPr>
          <w:rFonts w:ascii="Times New Roman" w:hAnsi="Times New Roman"/>
          <w:b/>
          <w:bCs/>
          <w:sz w:val="28"/>
          <w:szCs w:val="28"/>
          <w:lang w:val="en-US"/>
        </w:rPr>
        <w:t>3.2 Churn Analysis Data Transformation</w:t>
      </w:r>
    </w:p>
    <w:p>
      <w:pPr>
        <w:pStyle w:val="Normal"/>
        <w:bidi w:val="0"/>
        <w:spacing w:lineRule="auto" w:line="360" w:before="0" w:after="0"/>
        <w:ind w:left="0" w:right="0" w:firstLine="709"/>
        <w:jc w:val="both"/>
        <w:rPr>
          <w:sz w:val="28"/>
          <w:szCs w:val="28"/>
        </w:rPr>
      </w:pPr>
      <w:r>
        <w:rPr>
          <w:rFonts w:ascii="Times New Roman" w:hAnsi="Times New Roman"/>
          <w:b w:val="false"/>
          <w:bCs w:val="false"/>
          <w:sz w:val="28"/>
          <w:szCs w:val="28"/>
          <w:lang w:val="en-US"/>
        </w:rPr>
        <w:t>In this paper, we focus on components P2 and P5 from figure 1. The data used is initially based on two large imports: detail and aggregate. Detail provides a policy centric view year-on-year, recording the type, current and renewal premium for each policy. Aggregate is an aggregation of a unified customer record, detailing high level information on customers who hold policies generated during earlier work [10]. The large data imports are combined with other data sources within the warehouse to provide a dataset suitable for predicting customer churn. There are three processes involved in the transformation (P2) of a dataset suitable for churn analysis: Aggregation, Augmentation and Preparation. Aggregation constructs the initial per-policy view which provides information on policy renewals. Augmentation adds features to this dataset such as customer information and pricing. These two processes can be equated to the E and T processes within a standard ETL (Extract, Transform, Load) architecture. The final process Preparation provides a final transformation of the dataset so that is it ready for machine learning algorithms.</w:t>
      </w:r>
    </w:p>
    <w:p>
      <w:pPr>
        <w:pStyle w:val="Normal"/>
        <w:bidi w:val="0"/>
        <w:spacing w:lineRule="auto" w:line="360" w:before="0" w:after="0"/>
        <w:ind w:left="0" w:right="0" w:firstLine="709"/>
        <w:jc w:val="both"/>
        <w:rPr>
          <w:sz w:val="28"/>
          <w:szCs w:val="28"/>
          <w:lang w:val="ru-RU" w:eastAsia="zh-CN" w:bidi="hi-IN"/>
        </w:rPr>
      </w:pPr>
      <w:r>
        <w:rPr>
          <w:sz w:val="28"/>
          <w:szCs w:val="28"/>
          <w:lang w:val="ru-RU" w:eastAsia="zh-CN" w:bidi="hi-IN"/>
        </w:rPr>
      </w:r>
    </w:p>
    <w:p>
      <w:pPr>
        <w:pStyle w:val="Normal"/>
        <w:bidi w:val="0"/>
        <w:spacing w:lineRule="auto" w:line="360" w:before="0" w:after="0"/>
        <w:ind w:left="0" w:right="0" w:firstLine="709"/>
        <w:jc w:val="center"/>
        <w:rPr>
          <w:sz w:val="28"/>
          <w:szCs w:val="28"/>
        </w:rPr>
      </w:pPr>
      <w:r>
        <w:rPr>
          <w:rFonts w:ascii="Times New Roman" w:hAnsi="Times New Roman"/>
          <w:b/>
          <w:bCs/>
          <w:sz w:val="28"/>
          <w:szCs w:val="28"/>
          <w:lang w:val="ru-RU" w:eastAsia="zh-CN" w:bidi="hi-IN"/>
        </w:rPr>
        <w:t>Предсказание клиентского оттока для страховых данных</w:t>
      </w:r>
    </w:p>
    <w:p>
      <w:pPr>
        <w:pStyle w:val="TextBody"/>
        <w:bidi w:val="0"/>
        <w:spacing w:lineRule="auto" w:line="360" w:before="0" w:after="0"/>
        <w:ind w:left="1817" w:right="636" w:hanging="0"/>
        <w:jc w:val="center"/>
        <w:rPr>
          <w:rFonts w:ascii="Times New Roman" w:hAnsi="Times New Roman"/>
          <w:sz w:val="28"/>
          <w:szCs w:val="28"/>
        </w:rPr>
      </w:pPr>
      <w:r>
        <w:rPr>
          <w:rFonts w:ascii="Times New Roman" w:hAnsi="Times New Roman"/>
          <w:w w:val="105"/>
          <w:sz w:val="28"/>
          <w:szCs w:val="28"/>
          <w:lang w:val="ru-RU" w:eastAsia="zh-CN" w:bidi="hi-IN"/>
        </w:rPr>
        <w:t>Майкл Скрини, Дон-Юн</w:t>
      </w:r>
      <w:r>
        <w:rPr>
          <w:rFonts w:ascii="Times New Roman" w:hAnsi="Times New Roman"/>
          <w:spacing w:val="28"/>
          <w:w w:val="105"/>
          <w:sz w:val="28"/>
          <w:szCs w:val="28"/>
          <w:lang w:val="ru-RU" w:eastAsia="zh-CN" w:bidi="hi-IN"/>
        </w:rPr>
        <w:t xml:space="preserve"> </w:t>
      </w:r>
      <w:r>
        <w:rPr>
          <w:rFonts w:ascii="Times New Roman" w:hAnsi="Times New Roman"/>
          <w:spacing w:val="28"/>
          <w:w w:val="105"/>
          <w:sz w:val="28"/>
          <w:szCs w:val="28"/>
          <w:lang w:val="ru-RU" w:eastAsia="zh-CN" w:bidi="hi-IN"/>
        </w:rPr>
        <w:t>Ни и</w:t>
      </w:r>
      <w:r>
        <w:rPr>
          <w:rFonts w:ascii="Times New Roman" w:hAnsi="Times New Roman"/>
          <w:spacing w:val="28"/>
          <w:w w:val="105"/>
          <w:sz w:val="28"/>
          <w:szCs w:val="28"/>
          <w:lang w:val="ru-RU" w:eastAsia="zh-CN" w:bidi="hi-IN"/>
        </w:rPr>
        <w:t xml:space="preserve"> </w:t>
      </w:r>
      <w:r>
        <w:rPr>
          <w:rFonts w:ascii="Times New Roman" w:hAnsi="Times New Roman"/>
          <w:spacing w:val="28"/>
          <w:w w:val="105"/>
          <w:sz w:val="28"/>
          <w:szCs w:val="28"/>
          <w:lang w:val="ru-RU" w:eastAsia="zh-CN" w:bidi="hi-IN"/>
        </w:rPr>
        <w:t>Марк Раунтри</w:t>
      </w:r>
      <w:r>
        <w:rPr>
          <w:rFonts w:ascii="Times New Roman" w:hAnsi="Times New Roman"/>
          <w:spacing w:val="28"/>
          <w:w w:val="105"/>
          <w:sz w:val="28"/>
          <w:szCs w:val="28"/>
          <w:lang w:val="ru-RU" w:eastAsia="zh-CN" w:bidi="hi-IN"/>
        </w:rPr>
        <w:t xml:space="preserve"> </w:t>
      </w:r>
    </w:p>
    <w:p>
      <w:pPr>
        <w:pStyle w:val="TextBody"/>
        <w:bidi w:val="0"/>
        <w:spacing w:lineRule="auto" w:line="360" w:before="0" w:after="0"/>
        <w:ind w:left="1817" w:right="636" w:hanging="0"/>
        <w:jc w:val="center"/>
        <w:rPr>
          <w:sz w:val="28"/>
          <w:szCs w:val="28"/>
        </w:rPr>
      </w:pPr>
      <w:r>
        <w:rPr>
          <w:rFonts w:ascii="Times New Roman" w:hAnsi="Times New Roman"/>
          <w:sz w:val="28"/>
          <w:szCs w:val="28"/>
          <w:lang w:val="ru-RU" w:eastAsia="zh-CN" w:bidi="hi-IN"/>
        </w:rPr>
        <w:t>Городской Университет Дублина</w:t>
      </w:r>
      <w:r>
        <w:rPr>
          <w:rFonts w:ascii="Times New Roman" w:hAnsi="Times New Roman"/>
          <w:sz w:val="28"/>
          <w:szCs w:val="28"/>
          <w:lang w:val="ru-RU" w:eastAsia="zh-CN" w:bidi="hi-IN"/>
        </w:rPr>
        <w:t xml:space="preserve">, </w:t>
      </w:r>
      <w:r>
        <w:rPr>
          <w:rFonts w:ascii="Times New Roman" w:hAnsi="Times New Roman"/>
          <w:sz w:val="28"/>
          <w:szCs w:val="28"/>
          <w:lang w:val="ru-RU" w:eastAsia="zh-CN" w:bidi="hi-IN"/>
        </w:rPr>
        <w:t>Ирландия</w:t>
      </w:r>
    </w:p>
    <w:p>
      <w:pPr>
        <w:pStyle w:val="Normal"/>
        <w:bidi w:val="0"/>
        <w:spacing w:lineRule="auto" w:line="360" w:before="0" w:after="0"/>
        <w:ind w:left="0" w:right="0" w:firstLine="709"/>
        <w:jc w:val="both"/>
        <w:rPr>
          <w:rFonts w:ascii="Times New Roman" w:hAnsi="Times New Roman"/>
          <w:sz w:val="28"/>
          <w:szCs w:val="28"/>
          <w:lang w:val="ru-RU" w:eastAsia="zh-CN" w:bidi="hi-IN"/>
        </w:rPr>
      </w:pPr>
      <w:r>
        <w:rPr>
          <w:rFonts w:ascii="Times New Roman" w:hAnsi="Times New Roman"/>
          <w:sz w:val="28"/>
          <w:szCs w:val="28"/>
          <w:lang w:val="ru-RU" w:eastAsia="zh-CN" w:bidi="hi-IN"/>
        </w:rPr>
      </w:r>
    </w:p>
    <w:p>
      <w:pPr>
        <w:pStyle w:val="Normal"/>
        <w:bidi w:val="0"/>
        <w:spacing w:lineRule="auto" w:line="360" w:before="0" w:after="0"/>
        <w:ind w:left="0" w:right="0" w:firstLine="709"/>
        <w:jc w:val="both"/>
        <w:rPr>
          <w:sz w:val="28"/>
          <w:szCs w:val="28"/>
        </w:rPr>
      </w:pPr>
      <w:r>
        <w:rPr>
          <w:rFonts w:ascii="Times New Roman" w:hAnsi="Times New Roman"/>
          <w:b/>
          <w:bCs/>
          <w:sz w:val="28"/>
          <w:szCs w:val="28"/>
          <w:lang w:val="ru-RU" w:eastAsia="zh-CN" w:bidi="hi-IN"/>
        </w:rPr>
        <w:t>3. Преобразование данных</w:t>
      </w:r>
    </w:p>
    <w:p>
      <w:pPr>
        <w:pStyle w:val="Normal"/>
        <w:bidi w:val="0"/>
        <w:spacing w:lineRule="auto" w:line="360" w:before="0" w:after="0"/>
        <w:ind w:left="0" w:right="0" w:firstLine="709"/>
        <w:jc w:val="both"/>
        <w:rPr>
          <w:sz w:val="28"/>
          <w:szCs w:val="28"/>
        </w:rPr>
      </w:pPr>
      <w:r>
        <w:rPr>
          <w:rFonts w:ascii="Times New Roman" w:hAnsi="Times New Roman"/>
          <w:sz w:val="28"/>
          <w:szCs w:val="28"/>
          <w:lang w:val="ru-RU" w:eastAsia="zh-CN" w:bidi="hi-IN"/>
        </w:rPr>
        <w:t>В данном разделе приводится краткая схема архитектуры процессов Извлечения, Преобразования и Загрузки данных (ETL)</w:t>
      </w:r>
      <w:r>
        <w:rPr>
          <w:rFonts w:ascii="Times New Roman" w:hAnsi="Times New Roman"/>
          <w:sz w:val="28"/>
          <w:szCs w:val="28"/>
          <w:lang w:val="en-US" w:eastAsia="zh-CN" w:bidi="hi-IN"/>
        </w:rPr>
        <w:t xml:space="preserve">, </w:t>
      </w:r>
      <w:r>
        <w:rPr>
          <w:rFonts w:ascii="Times New Roman" w:hAnsi="Times New Roman"/>
          <w:sz w:val="28"/>
          <w:szCs w:val="28"/>
          <w:lang w:val="ru-RU" w:eastAsia="zh-CN" w:bidi="hi-IN"/>
        </w:rPr>
        <w:t>но основной темой являются компоненты, которые новы для нашей архитектуры и являются ключевыми для восстановления (импутации) данных об оттоке. Данные, используемые в этом исследовании предоставлены нашим партнером из страхового сектора. В данной сфере сделки направлены на продажу страховых полисов, а не на создание профилей клиентов и, таким образом, этап Извлечения данных дал приблизительно 500 000 страховых полисов.</w:t>
      </w:r>
    </w:p>
    <w:p>
      <w:pPr>
        <w:pStyle w:val="Normal"/>
        <w:bidi w:val="0"/>
        <w:spacing w:lineRule="auto" w:line="360" w:before="0" w:after="0"/>
        <w:ind w:left="0" w:right="0" w:firstLine="709"/>
        <w:jc w:val="both"/>
        <w:rPr>
          <w:rFonts w:ascii="Times New Roman" w:hAnsi="Times New Roman"/>
          <w:sz w:val="28"/>
          <w:szCs w:val="28"/>
          <w:lang w:val="en-US" w:eastAsia="zh-CN" w:bidi="hi-IN"/>
        </w:rPr>
      </w:pPr>
      <w:r>
        <w:rPr>
          <w:rFonts w:ascii="Times New Roman" w:hAnsi="Times New Roman"/>
          <w:sz w:val="28"/>
          <w:szCs w:val="28"/>
          <w:lang w:val="en-US" w:eastAsia="zh-CN" w:bidi="hi-IN"/>
        </w:rPr>
      </w:r>
    </w:p>
    <w:p>
      <w:pPr>
        <w:pStyle w:val="Normal"/>
        <w:bidi w:val="0"/>
        <w:spacing w:lineRule="auto" w:line="360" w:before="0" w:after="0"/>
        <w:ind w:left="0" w:right="0" w:firstLine="709"/>
        <w:jc w:val="both"/>
        <w:rPr>
          <w:sz w:val="28"/>
          <w:szCs w:val="28"/>
        </w:rPr>
      </w:pPr>
      <w:r>
        <w:rPr>
          <w:rFonts w:ascii="Times New Roman" w:hAnsi="Times New Roman"/>
          <w:b/>
          <w:bCs/>
          <w:sz w:val="28"/>
          <w:szCs w:val="28"/>
          <w:lang w:val="ru-RU" w:eastAsia="zh-CN" w:bidi="hi-IN"/>
        </w:rPr>
        <w:t>3.1 Архитектура системы</w:t>
      </w:r>
    </w:p>
    <w:p>
      <w:pPr>
        <w:pStyle w:val="Normal"/>
        <w:bidi w:val="0"/>
        <w:spacing w:lineRule="auto" w:line="360" w:before="0" w:after="0"/>
        <w:ind w:left="0" w:right="0" w:firstLine="709"/>
        <w:jc w:val="both"/>
        <w:rPr>
          <w:sz w:val="28"/>
          <w:szCs w:val="28"/>
        </w:rPr>
      </w:pPr>
      <w:r>
        <w:rPr>
          <w:rFonts w:ascii="Times New Roman" w:hAnsi="Times New Roman"/>
          <w:sz w:val="28"/>
          <w:szCs w:val="28"/>
          <w:lang w:val="ru-RU" w:eastAsia="zh-CN" w:bidi="hi-IN"/>
        </w:rPr>
        <w:t>Конвейер ETL включает в себя набор компонентов, извлекающих данные из источников, преобразующих эти данные, чтобы соответствовать системной модели и компонентов, загружающих данные в витрину данных (куб данных) для отчетности и аналитики. Наша архитектура, показанная на рисунке 1, это особая форма ETL-конвейера [14], обоснованная определенными требованиями поставленной задачи (время жизни клиента) и природой данных. В частности, в данной работе используется датасет, основанный на понятии полиса, а не клиента. Из-за чего он не подходит для анализа клиентов. Поэтому первым шагом стало связывание документов, при котором после сбора данные приводились к формату клиентов, где в каждом документе клиента указан один или более страховой полис. Данное исследование было представлено в [10] и, хотя в результате были получены более целостные данные о клиентах, они не подходили для алгоритмов восстановления, использующихся для восстановления недостающих переменных времени жизни клиента (CLV — Customer Lifetime Value). Также датасет все ещё не был классифицирован по типам клиентов (плохой, хороший, средний).</w:t>
      </w:r>
    </w:p>
    <w:p>
      <w:pPr>
        <w:pStyle w:val="Normal"/>
        <w:bidi w:val="0"/>
        <w:spacing w:lineRule="auto" w:line="360" w:before="0" w:after="0"/>
        <w:ind w:left="0" w:right="0" w:firstLine="709"/>
        <w:jc w:val="both"/>
        <w:rPr>
          <w:rFonts w:ascii="Times New Roman" w:hAnsi="Times New Roman"/>
          <w:sz w:val="28"/>
          <w:szCs w:val="28"/>
          <w:lang w:val="en-US" w:eastAsia="zh-CN" w:bidi="hi-IN"/>
        </w:rPr>
      </w:pPr>
      <w:r>
        <w:rPr>
          <w:rFonts w:ascii="Times New Roman" w:hAnsi="Times New Roman"/>
          <w:sz w:val="28"/>
          <w:szCs w:val="28"/>
          <w:lang w:val="en-US" w:eastAsia="zh-CN" w:bidi="hi-IN"/>
        </w:rPr>
      </w:r>
    </w:p>
    <w:p>
      <w:pPr>
        <w:pStyle w:val="Normal"/>
        <w:bidi w:val="0"/>
        <w:spacing w:lineRule="auto" w:line="360" w:before="0" w:after="0"/>
        <w:ind w:left="0" w:right="0" w:firstLine="709"/>
        <w:jc w:val="both"/>
        <w:rPr>
          <w:sz w:val="28"/>
          <w:szCs w:val="28"/>
        </w:rPr>
      </w:pPr>
      <w:r>
        <w:rPr>
          <w:rFonts w:ascii="Times New Roman" w:hAnsi="Times New Roman"/>
          <w:b/>
          <w:bCs/>
          <w:sz w:val="28"/>
          <w:szCs w:val="28"/>
          <w:lang w:val="ru-RU" w:eastAsia="zh-CN" w:bidi="hi-IN"/>
        </w:rPr>
        <w:t>3.2 Преобразование данных для анализа оттока</w:t>
      </w:r>
    </w:p>
    <w:p>
      <w:pPr>
        <w:pStyle w:val="Normal"/>
        <w:bidi w:val="0"/>
        <w:spacing w:lineRule="auto" w:line="360" w:before="0" w:after="0"/>
        <w:ind w:left="0" w:right="0" w:firstLine="709"/>
        <w:jc w:val="both"/>
        <w:rPr>
          <w:sz w:val="28"/>
          <w:szCs w:val="28"/>
        </w:rPr>
      </w:pPr>
      <w:r>
        <w:rPr>
          <w:rFonts w:ascii="Times New Roman" w:hAnsi="Times New Roman"/>
          <w:sz w:val="28"/>
          <w:szCs w:val="28"/>
          <w:lang w:val="ru-RU" w:eastAsia="zh-CN" w:bidi="hi-IN"/>
        </w:rPr>
        <w:t>В данном исследовании работа была сконцентрирована на пунктах P2 и P5, показанных на рисунке 1. Используемые данные изначально основаны на двух крупных выборках: детализации и агрегата. Детализация показывает данные относительно полисов по годам, включая в себя тип, текущие взносы и взносы за продление по каждому полису. Агрегат это группирование данных в разрезе клиентов по единым документам клиентов, владеющими страховыми полисами. Он был получен в результате предыдущей работы [10]. Эти крупные выборки объединены с другими источниками данных из хранилища данных для создания датасета, подходящего для предсказания клиентского оттока. Существует три процесса, входящих в преобразование (P2) датасета, подходящего для анализа оттока: агрегация (группирование), аугментация (раздутие) и предобработка. В результате агрегации определяется информация о продлениях по каждому полису. Аугментация добавляет различные свойства к датасету, например информацию о клиенте и ценах. Эти два процесса можно отнести к процессу Извлечения (Extract) и процессу Преобразования (Transform) в типовом ETL-конвейре. Последний процесс Подготовки выполняет последние преобразования над датасетом, чтобы подготовить его к алгоритмам машинного обучения.</w:t>
      </w:r>
    </w:p>
    <w:p>
      <w:pPr>
        <w:pStyle w:val="Normal"/>
        <w:bidi w:val="0"/>
        <w:spacing w:lineRule="auto" w:line="360" w:before="0" w:after="0"/>
        <w:ind w:left="0" w:right="0" w:firstLine="709"/>
        <w:jc w:val="both"/>
        <w:rPr>
          <w:rFonts w:ascii="Times New Roman" w:hAnsi="Times New Roman"/>
          <w:lang w:val="ru-RU" w:eastAsia="zh-CN" w:bidi="hi-IN"/>
        </w:rPr>
      </w:pPr>
      <w:r>
        <w:rPr>
          <w:sz w:val="28"/>
          <w:szCs w:val="28"/>
        </w:rPr>
      </w:r>
    </w:p>
    <w:p>
      <w:pPr>
        <w:pStyle w:val="Normal"/>
        <w:bidi w:val="0"/>
        <w:spacing w:lineRule="auto" w:line="360" w:before="0" w:after="0"/>
        <w:ind w:left="0" w:right="0" w:firstLine="709"/>
        <w:jc w:val="center"/>
        <w:rPr>
          <w:b/>
          <w:b/>
          <w:bCs/>
          <w:sz w:val="28"/>
          <w:szCs w:val="28"/>
        </w:rPr>
      </w:pPr>
      <w:r>
        <w:rPr>
          <w:rFonts w:ascii="Times New Roman" w:hAnsi="Times New Roman"/>
          <w:b/>
          <w:bCs/>
          <w:sz w:val="28"/>
          <w:szCs w:val="28"/>
          <w:lang w:val="ru-RU" w:eastAsia="zh-CN" w:bidi="hi-IN"/>
        </w:rPr>
        <w:t>Список литературы</w:t>
      </w:r>
    </w:p>
    <w:p>
      <w:pPr>
        <w:pStyle w:val="Normal"/>
        <w:bidi w:val="0"/>
        <w:spacing w:lineRule="auto" w:line="360" w:before="0" w:after="0"/>
        <w:ind w:left="0" w:right="0" w:firstLine="709"/>
        <w:jc w:val="both"/>
        <w:rPr>
          <w:sz w:val="28"/>
          <w:szCs w:val="28"/>
          <w:lang w:val="en-US" w:eastAsia="zh-CN" w:bidi="hi-IN"/>
        </w:rPr>
      </w:pPr>
      <w:r>
        <w:rPr>
          <w:rFonts w:ascii="Times New Roman" w:hAnsi="Times New Roman"/>
          <w:sz w:val="28"/>
          <w:szCs w:val="28"/>
          <w:lang w:val="en-US" w:eastAsia="zh-CN" w:bidi="hi-IN"/>
        </w:rPr>
        <w:t xml:space="preserve">Scriney M., Nie D., Roantree M. Predicting customer churn for insurance data //International Conference on Big Data Analytics and Knowledge Discovery. – Springer, Cham, 2020. – </w:t>
      </w:r>
      <w:r>
        <w:rPr>
          <w:rFonts w:ascii="Times New Roman" w:hAnsi="Times New Roman"/>
          <w:sz w:val="28"/>
          <w:szCs w:val="28"/>
          <w:lang w:val="en-US" w:eastAsia="zh-CN" w:bidi="hi-IN"/>
        </w:rPr>
        <w:t>с</w:t>
      </w:r>
      <w:r>
        <w:rPr>
          <w:rFonts w:ascii="Times New Roman" w:hAnsi="Times New Roman"/>
          <w:sz w:val="28"/>
          <w:szCs w:val="28"/>
          <w:lang w:val="en-US" w:eastAsia="zh-CN" w:bidi="hi-IN"/>
        </w:rPr>
        <w:t>. 25</w:t>
      </w:r>
      <w:r>
        <w:rPr>
          <w:rFonts w:ascii="Times New Roman" w:hAnsi="Times New Roman"/>
          <w:sz w:val="28"/>
          <w:szCs w:val="28"/>
          <w:lang w:val="en-US" w:eastAsia="zh-CN" w:bidi="hi-IN"/>
        </w:rPr>
        <w:t>9</w:t>
      </w:r>
      <w:r>
        <w:rPr>
          <w:rFonts w:ascii="Times New Roman" w:hAnsi="Times New Roman"/>
          <w:sz w:val="28"/>
          <w:szCs w:val="28"/>
          <w:lang w:val="en-US" w:eastAsia="zh-CN" w:bidi="hi-IN"/>
        </w:rPr>
        <w:t>-26</w:t>
      </w:r>
      <w:r>
        <w:rPr>
          <w:rFonts w:ascii="Times New Roman" w:hAnsi="Times New Roman"/>
          <w:sz w:val="28"/>
          <w:szCs w:val="28"/>
          <w:lang w:val="en-US" w:eastAsia="zh-CN" w:bidi="hi-IN"/>
        </w:rPr>
        <w:t>0</w:t>
      </w:r>
      <w:r>
        <w:rPr>
          <w:rFonts w:ascii="Times New Roman" w:hAnsi="Times New Roman"/>
          <w:sz w:val="28"/>
          <w:szCs w:val="28"/>
          <w:lang w:val="en-US" w:eastAsia="zh-CN" w:bidi="hi-IN"/>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LibreOffice/7.3.7.2$Linux_X86_64 LibreOffice_project/30$Build-2</Application>
  <AppVersion>15.0000</AppVersion>
  <Pages>5</Pages>
  <Words>926</Words>
  <Characters>5866</Characters>
  <CharactersWithSpaces>6812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2022-11-16T23:33:11Z</dcterms:created>
  <dc:creator/>
  <dc:description/>
  <dc:language>ru-RU</dc:language>
  <cp:lastModifiedBy/>
  <dcterms:modified xsi:type="dcterms:W3CDTF">2022-11-23T20:30:05Z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