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spacing w:lineRule="auto" w:line="240" w:before="240" w:after="60"/>
        <w:rPr/>
      </w:pPr>
      <w:bookmarkStart w:id="0" w:name="_Toc459779658"/>
      <w:r>
        <w:rPr/>
        <w:t>Лабораторная работа № 1. Исследование свойств оценок параметров распределений вероятностей по эмпирическим данным</w:t>
      </w:r>
      <w:bookmarkEnd w:id="0"/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Цель работы.</w:t>
      </w:r>
      <w:r>
        <w:rPr>
          <w:sz w:val="28"/>
          <w:szCs w:val="28"/>
        </w:rPr>
        <w:t xml:space="preserve"> Вычисление оценок параметров распределений вероятностей по эмпирическим данным различными методами. Исследование асимптотических свойств оценок методом Монте-Карло. </w:t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Сухих, 2 вариант.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1"/>
        <w:gridCol w:w="7923"/>
      </w:tblGrid>
      <w:tr>
        <w:trPr/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lineRule="auto" w:line="360"/>
              <w:ind w:left="0" w:right="0" w:firstLine="709"/>
              <w:jc w:val="center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lineRule="auto" w:line="360"/>
              <w:ind w:left="0" w:right="0" w:firstLine="709"/>
              <w:rPr/>
            </w:pPr>
            <w:r>
              <w:rPr>
                <w:sz w:val="28"/>
                <w:szCs w:val="28"/>
              </w:rPr>
              <w:t>Распределение Лапласа, параметр масштаба.</w:t>
            </w:r>
          </w:p>
        </w:tc>
      </w:tr>
    </w:tbl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Ход выполнения</w:t>
      </w:r>
      <w:r>
        <w:rPr>
          <w:sz w:val="28"/>
          <w:szCs w:val="28"/>
        </w:rPr>
        <w:t xml:space="preserve"> </w:t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Определен</w:t>
      </w:r>
      <w:r>
        <w:rPr>
          <w:sz w:val="28"/>
          <w:szCs w:val="28"/>
        </w:rPr>
        <w:t>ие количества экспериментов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N.</w:t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rFonts w:eastAsia="Times New Roman" w:cs="Times New Roman"/>
          <w:i w:val="false"/>
          <w:iCs w:val="false"/>
          <w:sz w:val="28"/>
          <w:szCs w:val="28"/>
          <w:lang w:val="ru-RU" w:eastAsia="ru-RU"/>
        </w:rPr>
        <w:t>Количество экспериментов было определено, исходя из требуемой точности ε</w:t>
      </w:r>
      <w:r>
        <w:rPr>
          <w:rFonts w:eastAsia="Times New Roman" w:cs="Times New Roman"/>
          <w:i/>
          <w:sz w:val="28"/>
          <w:szCs w:val="28"/>
          <w:lang w:eastAsia="ru-RU"/>
        </w:rPr>
        <w:t>=</w:t>
      </w:r>
      <w:r>
        <w:rPr>
          <w:rFonts w:eastAsia="Times New Roman" w:cs="Times New Roman"/>
          <w:i/>
          <w:sz w:val="28"/>
          <w:szCs w:val="28"/>
          <w:lang w:val="en-US" w:eastAsia="ru-RU"/>
        </w:rPr>
        <w:t xml:space="preserve">0.01 </w:t>
      </w:r>
      <w:r>
        <w:rPr>
          <w:rFonts w:eastAsia="Times New Roman" w:cs="Times New Roman"/>
          <w:i w:val="false"/>
          <w:iCs w:val="false"/>
          <w:sz w:val="28"/>
          <w:szCs w:val="28"/>
          <w:lang w:val="ru-RU" w:eastAsia="ru-RU"/>
        </w:rPr>
        <w:t>согласное формуле</w:t>
      </w:r>
    </w:p>
    <w:p>
      <w:pPr>
        <w:pStyle w:val="12"/>
        <w:spacing w:lineRule="auto" w:line="360"/>
        <w:ind w:left="0" w:right="0" w:firstLine="709"/>
        <w:jc w:val="center"/>
        <w:rPr/>
      </w:pPr>
      <w:r>
        <w:rPr>
          <w:i w:val="false"/>
          <w:iCs w:val="false"/>
          <w:sz w:val="28"/>
          <w:szCs w:val="28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f>
            <m:num>
              <m:r>
                <w:rPr>
                  <w:rFonts w:ascii="Cambria Math" w:hAnsi="Cambria Math"/>
                </w:rPr>
                <m:t xml:space="preserve">1.66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ε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16600</m:t>
          </m:r>
        </m:oMath>
      </m:oMathPara>
    </w:p>
    <w:p>
      <w:pPr>
        <w:pStyle w:val="12"/>
        <w:spacing w:lineRule="auto" w:line="360" w:before="283" w:after="0"/>
        <w:ind w:left="0" w:righ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ru-RU"/>
        </w:rPr>
        <w:t>Моделирование выборок.</w:t>
      </w:r>
    </w:p>
    <w:p>
      <w:pPr>
        <w:pStyle w:val="12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rFonts w:eastAsia="Times New Roman" w:cs="Times New Roman"/>
          <w:sz w:val="28"/>
          <w:szCs w:val="28"/>
          <w:lang w:eastAsia="ru-RU"/>
        </w:rPr>
        <w:t xml:space="preserve"> использованием программы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ISW были смоделированы </w:t>
      </w:r>
      <w:r>
        <w:rPr>
          <w:rFonts w:eastAsia="Times New Roman" w:cs="Times New Roman"/>
          <w:sz w:val="28"/>
          <w:szCs w:val="28"/>
          <w:lang w:val="ru-RU" w:eastAsia="ru-RU"/>
        </w:rPr>
        <w:t>выборки, состоящие из оценок</w:t>
      </w:r>
      <w:r>
        <w:rPr>
          <w:sz w:val="28"/>
          <w:szCs w:val="28"/>
          <w:lang w:val="ru-RU"/>
        </w:rPr>
        <w:t>:</w:t>
      </w:r>
    </w:p>
    <w:p>
      <w:pPr>
        <w:pStyle w:val="Style18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максимального правдоподобия –</w:t>
      </w:r>
      <w:r>
        <w:rPr>
          <w:color w:val="000000"/>
          <w:sz w:val="28"/>
          <w:szCs w:val="28"/>
        </w:rPr>
        <w:drawing>
          <wp:inline distT="0" distB="0" distL="0" distR="0">
            <wp:extent cx="828675" cy="2952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>
      <w:pPr>
        <w:pStyle w:val="Style18"/>
        <w:pBdr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Колмогорова – 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666750" cy="2952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>
      <w:pPr>
        <w:pStyle w:val="Style18"/>
        <w:pBdr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Крамера–Мизеса–Смирнова –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704850" cy="3333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>
      <w:pPr>
        <w:pStyle w:val="Style18"/>
        <w:pBdr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714375" cy="3333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Андерсона–Дарлинга,</w:t>
      </w:r>
    </w:p>
    <w:p>
      <w:pPr>
        <w:pStyle w:val="Style18"/>
        <w:spacing w:lineRule="auto" w:line="360" w:before="0" w:after="0"/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по порядковым статистикам (</w:t>
      </w:r>
      <w:r>
        <w:rPr>
          <w:rFonts w:ascii="Times New Roman" w:hAnsi="Times New Roman"/>
          <w:i/>
          <w:color w:val="000000"/>
          <w:sz w:val="28"/>
          <w:szCs w:val="28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>-оценки)</w:t>
      </w:r>
    </w:p>
    <w:p>
      <w:pPr>
        <w:pStyle w:val="12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различном объеме наблюдений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= 20,50,100,1000.</w:t>
      </w:r>
    </w:p>
    <w:p>
      <w:pPr>
        <w:pStyle w:val="12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ru-RU"/>
        </w:rPr>
        <w:t>Построение графиков функций распределения смоделированных выборок</w: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Построенные графики приведены на рисунках 1-5 для различных оценок и при различном объеме наблюдений </w:t>
      </w:r>
      <w:r>
        <w:rPr>
          <w:rFonts w:eastAsia="Times New Roman" w:cs="Times New Roman"/>
          <w:i/>
          <w:iCs/>
          <w:sz w:val="28"/>
          <w:szCs w:val="28"/>
          <w:lang w:val="en-US" w:eastAsia="ru-RU"/>
        </w:rPr>
        <w:t>n</w:t>
      </w:r>
      <w:r>
        <w:rPr>
          <w:rFonts w:eastAsia="Times New Roman" w:cs="Times New Roman"/>
          <w:sz w:val="28"/>
          <w:szCs w:val="28"/>
          <w:lang w:val="en-US" w:eastAsia="ru-RU"/>
        </w:rPr>
        <w:t>. Как видно на рисунках, по мере увеличения объема наблюдений функции распределения принимают форму, близкую к функции нормального распределения.</w: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749300</wp:posOffset>
                </wp:positionH>
                <wp:positionV relativeFrom="paragraph">
                  <wp:posOffset>51435</wp:posOffset>
                </wp:positionV>
                <wp:extent cx="4237355" cy="3651250"/>
                <wp:effectExtent l="0" t="0" r="0" b="0"/>
                <wp:wrapTopAndBottom/>
                <wp:docPr id="6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355" cy="36512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431665" cy="3084830"/>
                                  <wp:effectExtent l="0" t="0" r="0" b="0"/>
                                  <wp:docPr id="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1665" cy="3084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: Сравнение графиков распределения ОМП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3.65pt;height:287.5pt;mso-wrap-distance-left:0pt;mso-wrap-distance-right:0pt;mso-wrap-distance-top:0pt;mso-wrap-distance-bottom:0pt;margin-top:4.05pt;mso-position-vertical-relative:text;margin-left:59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431665" cy="3084830"/>
                            <wp:effectExtent l="0" t="0" r="0" b="0"/>
                            <wp:docPr id="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1665" cy="3084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: Сравнение графиков распределения ОМП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711200</wp:posOffset>
                </wp:positionH>
                <wp:positionV relativeFrom="paragraph">
                  <wp:posOffset>3933190</wp:posOffset>
                </wp:positionV>
                <wp:extent cx="4475480" cy="3575050"/>
                <wp:effectExtent l="0" t="0" r="0" b="0"/>
                <wp:wrapTopAndBottom/>
                <wp:docPr id="9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480" cy="3575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316095" cy="3096260"/>
                                  <wp:effectExtent l="0" t="0" r="0" b="0"/>
                                  <wp:docPr id="10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095" cy="309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>MD-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>оценки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Колмогорова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2.4pt;height:281.5pt;mso-wrap-distance-left:0pt;mso-wrap-distance-right:0pt;mso-wrap-distance-top:0pt;mso-wrap-distance-bottom:0pt;margin-top:309.7pt;mso-position-vertical-relative:text;margin-left:56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316095" cy="3096260"/>
                            <wp:effectExtent l="0" t="0" r="0" b="0"/>
                            <wp:docPr id="11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095" cy="309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>MD-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>оценки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Колмогорова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673100</wp:posOffset>
                </wp:positionH>
                <wp:positionV relativeFrom="paragraph">
                  <wp:posOffset>50800</wp:posOffset>
                </wp:positionV>
                <wp:extent cx="4475480" cy="3600450"/>
                <wp:effectExtent l="0" t="0" r="0" b="0"/>
                <wp:wrapTopAndBottom/>
                <wp:docPr id="12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480" cy="36004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475480" cy="3121660"/>
                                  <wp:effectExtent l="0" t="0" r="0" b="0"/>
                                  <wp:docPr id="13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480" cy="3121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>MD-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>оценки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 xml:space="preserve">Андерсона-Дарлинга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2.4pt;height:283.5pt;mso-wrap-distance-left:0pt;mso-wrap-distance-right:0pt;mso-wrap-distance-top:0pt;mso-wrap-distance-bottom:0pt;margin-top:4pt;mso-position-vertical-relative:text;margin-left:53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475480" cy="3121660"/>
                            <wp:effectExtent l="0" t="0" r="0" b="0"/>
                            <wp:docPr id="14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480" cy="3121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>MD-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>оценки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 xml:space="preserve">Андерсона-Дарлинга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749300</wp:posOffset>
                </wp:positionH>
                <wp:positionV relativeFrom="paragraph">
                  <wp:posOffset>3825240</wp:posOffset>
                </wp:positionV>
                <wp:extent cx="4475480" cy="3803650"/>
                <wp:effectExtent l="0" t="0" r="0" b="0"/>
                <wp:wrapTopAndBottom/>
                <wp:docPr id="15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480" cy="3803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475480" cy="3123565"/>
                                  <wp:effectExtent l="0" t="0" r="0" b="0"/>
                                  <wp:docPr id="16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480" cy="3123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>MD-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>оценки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К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 xml:space="preserve">рамера-Мизеса-Смирнова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2.4pt;height:299.5pt;mso-wrap-distance-left:0pt;mso-wrap-distance-right:0pt;mso-wrap-distance-top:0pt;mso-wrap-distance-bottom:0pt;margin-top:301.2pt;mso-position-vertical-relative:text;margin-left:59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475480" cy="3123565"/>
                            <wp:effectExtent l="0" t="0" r="0" b="0"/>
                            <wp:docPr id="17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480" cy="3123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>MD-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>оценки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К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 xml:space="preserve">рамера-Мизеса-Смирнова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918210</wp:posOffset>
                </wp:positionH>
                <wp:positionV relativeFrom="paragraph">
                  <wp:posOffset>60960</wp:posOffset>
                </wp:positionV>
                <wp:extent cx="4475480" cy="3702050"/>
                <wp:effectExtent l="0" t="0" r="0" b="0"/>
                <wp:wrapTopAndBottom/>
                <wp:docPr id="18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480" cy="3702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475480" cy="3223260"/>
                                  <wp:effectExtent l="0" t="0" r="0" b="0"/>
                                  <wp:docPr id="19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480" cy="3223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>L-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 xml:space="preserve">оценки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2.4pt;height:291.5pt;mso-wrap-distance-left:0pt;mso-wrap-distance-right:0pt;mso-wrap-distance-top:0pt;mso-wrap-distance-bottom:0pt;margin-top:4.8pt;mso-position-vertical-relative:text;margin-left:72.3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475480" cy="3223260"/>
                            <wp:effectExtent l="0" t="0" r="0" b="0"/>
                            <wp:docPr id="20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480" cy="3223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>L-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 xml:space="preserve">оценки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Исследование на нормальность</w: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гипотезы о согласии оценки нормальному закону распределения была произведена с помощью критерия Хи-квадрат.</w:t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13970</wp:posOffset>
                </wp:positionH>
                <wp:positionV relativeFrom="paragraph">
                  <wp:posOffset>235585</wp:posOffset>
                </wp:positionV>
                <wp:extent cx="1152525" cy="409575"/>
                <wp:effectExtent l="635" t="635" r="635" b="635"/>
                <wp:wrapNone/>
                <wp:docPr id="2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09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8.55pt" to="91.8pt,50.75pt" ID="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Набл.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Оценка 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1000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ОМП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3,47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66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-71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1,1093*10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1,3289*10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-14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0,06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не 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Колмогорова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1,3166*10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-15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К-М-С,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ɷ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2,6823*10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-46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4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,6383*10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0,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0451,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не 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Андерсона-Дарлинга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6,7715*10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-50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2,715*10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-21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0,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0519,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не 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9521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ru-RU"/>
              </w:rPr>
              <w:t>39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0528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ru-RU"/>
              </w:rPr>
              <w:t>20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0041</w:t>
            </w:r>
          </w:p>
          <w:p>
            <w:pPr>
              <w:pStyle w:val="Style22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в таблице данным видно, что наиболее эффективным методом оценивания оказалась оценка максимального правдоподобия. Смоделированные выборки соответствовали нормальному закону распределения л</w:t>
      </w:r>
      <w:r>
        <w:rPr>
          <w:rFonts w:eastAsia="Times New Roman" w:cs="Times New Roman"/>
          <w:sz w:val="28"/>
          <w:szCs w:val="28"/>
          <w:lang w:eastAsia="ru-RU"/>
        </w:rPr>
        <w:t xml:space="preserve">ишь в 3 </w:t>
      </w:r>
      <w:r>
        <w:rPr>
          <w:sz w:val="28"/>
          <w:szCs w:val="28"/>
        </w:rPr>
        <w:t>методах из 5 при количестве наблюдений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1000.</w:t>
      </w:r>
    </w:p>
    <w:p>
      <w:pPr>
        <w:pStyle w:val="12"/>
        <w:spacing w:lineRule="auto" w:line="360"/>
        <w:ind w:left="0" w:right="0" w:firstLine="709"/>
        <w:jc w:val="both"/>
        <w:rPr>
          <w:lang w:val="en-US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 Исследование свойств оценок</w:t>
      </w:r>
    </w:p>
    <w:p>
      <w:pPr>
        <w:pStyle w:val="12"/>
        <w:spacing w:lineRule="auto" w:line="360" w:before="119" w:after="170"/>
        <w:ind w:left="0" w:right="0" w:firstLine="709"/>
        <w:jc w:val="both"/>
        <w:rPr/>
      </w:pPr>
      <w:r>
        <w:rPr>
          <w:sz w:val="28"/>
          <w:szCs w:val="28"/>
        </w:rPr>
        <w:t xml:space="preserve">При помощи программы </w:t>
      </w:r>
      <w:r>
        <w:rPr>
          <w:sz w:val="28"/>
          <w:szCs w:val="28"/>
          <w:lang w:val="en-US"/>
        </w:rPr>
        <w:t xml:space="preserve">ISW </w:t>
      </w:r>
      <w:r>
        <w:rPr>
          <w:sz w:val="28"/>
          <w:szCs w:val="28"/>
          <w:lang w:val="ru-RU"/>
        </w:rPr>
        <w:t>были определены свойства несмещенности, состоятельности и эффективности для о</w:t>
      </w:r>
      <w:r>
        <w:rPr>
          <w:sz w:val="28"/>
          <w:szCs w:val="28"/>
        </w:rPr>
        <w:t>цен</w:t>
      </w:r>
      <w:r>
        <w:rPr>
          <w:sz w:val="28"/>
          <w:szCs w:val="28"/>
        </w:rPr>
        <w:t>ок</w:t>
      </w:r>
      <w:r>
        <w:rPr>
          <w:sz w:val="28"/>
          <w:szCs w:val="28"/>
        </w:rPr>
        <w:t xml:space="preserve"> при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= 20,50,100,1000 </w:t>
      </w:r>
      <w:r>
        <w:rPr>
          <w:sz w:val="28"/>
          <w:szCs w:val="28"/>
        </w:rPr>
        <w:t>методами:</w:t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максимального правдоподобия –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ОМП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,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9"/>
        <w:gridCol w:w="1689"/>
        <w:gridCol w:w="1688"/>
        <w:gridCol w:w="1690"/>
        <w:gridCol w:w="1689"/>
      </w:tblGrid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0025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0003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 </m:t>
                    </m:r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65,75%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48,06%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31,77%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-0,0002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2,225*10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8,016*10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0,489*10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Колмогорова –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, 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9"/>
        <w:gridCol w:w="1689"/>
        <w:gridCol w:w="1688"/>
        <w:gridCol w:w="1690"/>
        <w:gridCol w:w="1689"/>
      </w:tblGrid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0,0863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0,0334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0,0018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 </m:t>
                    </m:r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78,52%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59,92%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52,48%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3,86%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0,0883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0,0296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0,0139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8"/>
          <w:szCs w:val="28"/>
        </w:rPr>
        <w:t xml:space="preserve"> Крамера–Мизеса–Смирнова –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,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9"/>
        <w:gridCol w:w="1689"/>
        <w:gridCol w:w="1688"/>
        <w:gridCol w:w="1690"/>
        <w:gridCol w:w="1689"/>
      </w:tblGrid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0,0977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0,0178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0,0023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 </m:t>
                    </m:r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74,59%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57,46%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40,89%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0,83%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9,86*10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4,472*10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6161</w:t>
            </w:r>
            <w:r>
              <w:rPr>
                <w:sz w:val="28"/>
                <w:szCs w:val="28"/>
                <w:lang w:val="en-US"/>
              </w:rPr>
              <w:t>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Андерсона–Дарлинга,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9"/>
        <w:gridCol w:w="1689"/>
        <w:gridCol w:w="1688"/>
        <w:gridCol w:w="1690"/>
        <w:gridCol w:w="1689"/>
      </w:tblGrid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>
          <w:trHeight w:val="403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0,1399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0,0230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0,0029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 </m:t>
                    </m:r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75,69%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53,87%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37,84%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0,55%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</w:t>
            </w:r>
            <w:r>
              <w:rPr>
                <w:sz w:val="28"/>
                <w:szCs w:val="28"/>
                <w:lang w:val="en-US"/>
              </w:rPr>
              <w:t>13*10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99*10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1,2896*10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>- по порядковым статистикам (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-оценки)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9"/>
        <w:gridCol w:w="1689"/>
        <w:gridCol w:w="1688"/>
        <w:gridCol w:w="1690"/>
        <w:gridCol w:w="1689"/>
      </w:tblGrid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-0,0056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0,0011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 </m:t>
                    </m:r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70,72%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52,49%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38,95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1,1%</w:t>
            </w:r>
          </w:p>
        </w:tc>
      </w:tr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[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]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</m:oMath>
            </m:oMathPara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0,0071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4,0625*10</w:t>
            </w:r>
            <w:r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p>
      <w:pPr>
        <w:pStyle w:val="12"/>
        <w:spacing w:lineRule="auto" w:line="360"/>
        <w:ind w:left="0" w:right="0" w:firstLine="709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>
      <w:pPr>
        <w:pStyle w:val="12"/>
        <w:spacing w:lineRule="auto" w:line="360" w:before="119" w:after="170"/>
        <w:ind w:left="0" w:righ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По результатам, полученным в ходе выполнения лабораторной работы было установлено, что с ростом объема выборки улучшаются такие свойства оценок как несмещенность, состоятельность и эффективность, также  существенно повышается достигаемый уровень значимости.</w:t>
      </w:r>
    </w:p>
    <w:p>
      <w:pPr>
        <w:pStyle w:val="12"/>
        <w:spacing w:lineRule="auto" w:line="360" w:before="119" w:after="170"/>
        <w:ind w:left="0" w:right="0" w:firstLine="709"/>
        <w:jc w:val="both"/>
        <w:rPr/>
      </w:pPr>
      <w:r>
        <w:rPr>
          <w:sz w:val="28"/>
          <w:szCs w:val="28"/>
          <w:lang w:val="ru-RU"/>
        </w:rPr>
        <w:t xml:space="preserve">Наиболее эффективным методом можно назвать оценку максимального правдоподобия, обеспечивающую наибольший рост свойств оценки и уровня значимости. В свою очередь выборки, полученные методами </w:t>
      </w:r>
      <w:r>
        <w:rPr>
          <w:sz w:val="28"/>
          <w:szCs w:val="28"/>
          <w:lang w:val="en-US"/>
        </w:rPr>
        <w:t>MD-</w:t>
      </w:r>
      <w:r>
        <w:rPr>
          <w:sz w:val="28"/>
          <w:szCs w:val="28"/>
          <w:lang w:val="ru-RU"/>
        </w:rPr>
        <w:t xml:space="preserve">оценки Колмогорова и </w:t>
      </w:r>
      <w:r>
        <w:rPr>
          <w:sz w:val="28"/>
          <w:szCs w:val="28"/>
          <w:lang w:val="en-US"/>
        </w:rPr>
        <w:t>L-</w:t>
      </w:r>
      <w:r>
        <w:rPr>
          <w:sz w:val="28"/>
          <w:szCs w:val="28"/>
          <w:lang w:val="ru-RU"/>
        </w:rPr>
        <w:t>оценки при всех исследуемых объемах выборки отвергали гипотезу о согласии нормальному закону распределения, что говорит об их малой эффективности применительно к моделированию и оценке параметра масштаба распределения Лапласа.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18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937c26"/>
    <w:pPr>
      <w:keepNext w:val="true"/>
      <w:spacing w:lineRule="auto" w:line="240" w:before="240" w:after="60"/>
      <w:outlineLvl w:val="0"/>
    </w:pPr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937c26"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937c26"/>
    <w:rPr>
      <w:rFonts w:ascii="Tahoma" w:hAnsi="Tahoma" w:cs="Tahoma"/>
      <w:sz w:val="16"/>
      <w:szCs w:val="16"/>
    </w:rPr>
  </w:style>
  <w:style w:type="character" w:styleId="Style14">
    <w:name w:val="Hyperlink"/>
    <w:basedOn w:val="DefaultParagraphFont"/>
    <w:uiPriority w:val="99"/>
    <w:unhideWhenUsed/>
    <w:rsid w:val="00937c26"/>
    <w:rPr>
      <w:color w:val="0000FF" w:themeColor="hyperlink"/>
      <w:u w:val="single"/>
    </w:rPr>
  </w:style>
  <w:style w:type="character" w:styleId="Style15">
    <w:name w:val="FollowedHyperlink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2" w:customStyle="1">
    <w:name w:val="Обычный1"/>
    <w:qFormat/>
    <w:rsid w:val="00937c2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937c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Table of Figures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VX">
    <w:name w:val="Нумерованный IVX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Application>LibreOffice/7.4.0.3$Windows_X86_64 LibreOffice_project/f85e47c08ddd19c015c0114a68350214f7066f5a</Application>
  <AppVersion>15.0000</AppVersion>
  <Pages>6</Pages>
  <Words>597</Words>
  <Characters>3909</Characters>
  <CharactersWithSpaces>4365</CharactersWithSpaces>
  <Paragraphs>183</Paragraphs>
  <Company>NSTU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2022-09-01T03:36:00Z</dcterms:created>
  <dc:creator>Лоточ</dc:creator>
  <dc:description/>
  <dc:language>ru-RU</dc:language>
  <cp:lastModifiedBy/>
  <dcterms:modified xsi:type="dcterms:W3CDTF">2022-10-13T04:11:01Z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