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4"/>
        <w:spacing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14"/>
        <w:numPr>
          <w:ilvl w:val="0"/>
          <w:numId w:val="0"/>
        </w:numPr>
        <w:spacing w:before="0" w:after="0"/>
        <w:jc w:val="center"/>
        <w:outlineLvl w:val="0"/>
        <w:rPr/>
      </w:pPr>
      <w:r>
        <w:rPr/>
        <w:t>ФЕДЕРАЛЬНОЕ ГОСУДАРСТВЕННОЕ БЮДЖЕТНОЕ</w:t>
      </w:r>
    </w:p>
    <w:p>
      <w:pPr>
        <w:pStyle w:val="14"/>
        <w:numPr>
          <w:ilvl w:val="0"/>
          <w:numId w:val="0"/>
        </w:numPr>
        <w:spacing w:before="0" w:after="0"/>
        <w:jc w:val="center"/>
        <w:outlineLvl w:val="0"/>
        <w:rPr/>
      </w:pPr>
      <w:r>
        <w:rPr/>
        <w:t>ОБРАЗОВАТЕЛЬНОЕ УЧРЕЖДЕНИЕ</w:t>
      </w:r>
    </w:p>
    <w:p>
      <w:pPr>
        <w:pStyle w:val="14"/>
        <w:numPr>
          <w:ilvl w:val="0"/>
          <w:numId w:val="0"/>
        </w:numPr>
        <w:spacing w:before="0" w:after="0"/>
        <w:jc w:val="center"/>
        <w:outlineLvl w:val="0"/>
        <w:rPr/>
      </w:pPr>
      <w:r>
        <w:rPr/>
        <w:t>ВЫСШЕГО ОБРАЗОВАНИЯ</w:t>
      </w:r>
    </w:p>
    <w:p>
      <w:pPr>
        <w:pStyle w:val="14"/>
        <w:numPr>
          <w:ilvl w:val="0"/>
          <w:numId w:val="0"/>
        </w:numPr>
        <w:spacing w:before="0" w:after="0"/>
        <w:jc w:val="center"/>
        <w:outlineLvl w:val="0"/>
        <w:rPr/>
      </w:pPr>
      <w:r>
        <w:rPr/>
        <w:t>«НОВОСИБИРСКИЙ ГОСУДАРСТВЕННЫЙ ТЕХНИЧЕСКИЙ УНИВЕРСИТЕТ»</w:t>
      </w:r>
    </w:p>
    <w:p>
      <w:pPr>
        <w:pStyle w:val="14"/>
        <w:rPr/>
      </w:pPr>
      <w:r>
        <w:rPr/>
        <w:t> </w:t>
      </w:r>
    </w:p>
    <w:p>
      <w:pPr>
        <w:pStyle w:val="14"/>
        <w:numPr>
          <w:ilvl w:val="0"/>
          <w:numId w:val="0"/>
        </w:numPr>
        <w:jc w:val="center"/>
        <w:outlineLvl w:val="0"/>
        <w:rPr/>
      </w:pPr>
      <w:r>
        <w:rPr/>
        <w:t>Кафедра теоретической и прикладной информатики</w:t>
      </w:r>
    </w:p>
    <w:p>
      <w:pPr>
        <w:pStyle w:val="14"/>
        <w:rPr/>
      </w:pPr>
      <w:r>
        <w:rPr/>
        <w:t> 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 </w:t>
      </w:r>
    </w:p>
    <w:p>
      <w:pPr>
        <w:pStyle w:val="14"/>
        <w:numPr>
          <w:ilvl w:val="0"/>
          <w:numId w:val="0"/>
        </w:numPr>
        <w:jc w:val="center"/>
        <w:outlineLvl w:val="0"/>
        <w:rPr>
          <w:b/>
          <w:b/>
        </w:rPr>
      </w:pPr>
      <w:r>
        <w:rPr>
          <w:b/>
        </w:rPr>
        <w:t>ЛАБОРАТОРНАЯ РАБОТА №1</w:t>
      </w:r>
    </w:p>
    <w:p>
      <w:pPr>
        <w:pStyle w:val="14"/>
        <w:jc w:val="center"/>
        <w:rPr/>
      </w:pPr>
      <w:r>
        <w:rPr/>
        <w:t>по дисциплине: Компьютерные технологии моделирования и анализа данных</w:t>
      </w:r>
    </w:p>
    <w:p>
      <w:pPr>
        <w:pStyle w:val="14"/>
        <w:jc w:val="center"/>
        <w:rPr/>
      </w:pPr>
      <w:r>
        <w:rPr/>
        <w:t xml:space="preserve">на тему: </w:t>
      </w:r>
      <w:r>
        <w:rPr>
          <w:color w:val="000000"/>
        </w:rPr>
        <w:t>Исследование свойств оценок параметров распределений вероятностей по эмпирическим данным</w:t>
      </w:r>
      <w:r>
        <w:rPr/>
        <w:t xml:space="preserve"> </w:t>
      </w:r>
    </w:p>
    <w:p>
      <w:pPr>
        <w:pStyle w:val="14"/>
        <w:rPr/>
      </w:pPr>
      <w:r>
        <w:rPr/>
        <w:t>  </w:t>
      </w:r>
      <w:r>
        <w:rPr/>
        <w:t>Факультет: ФПМИ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Группа: ПММ-21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Выполнили: Сухих А.С.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Вариант №2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Проверил: д.т.н., профессор Лемешко Б.Ю.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Дата выполнения: 12.10.22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  <w:t>Отметка о защите:</w:t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</w:r>
    </w:p>
    <w:p>
      <w:pPr>
        <w:pStyle w:val="14"/>
        <w:numPr>
          <w:ilvl w:val="0"/>
          <w:numId w:val="0"/>
        </w:numPr>
        <w:spacing w:before="0" w:after="0"/>
        <w:outlineLvl w:val="0"/>
        <w:rPr/>
      </w:pPr>
      <w:r>
        <w:rPr/>
      </w:r>
    </w:p>
    <w:p>
      <w:pPr>
        <w:sectPr>
          <w:type w:val="nextPage"/>
          <w:pgSz w:w="11906" w:h="16838"/>
          <w:pgMar w:left="1134" w:right="567" w:gutter="0" w:header="0" w:top="1134" w:footer="0" w:bottom="1134"/>
          <w:pgNumType w:fmt="decimal"/>
          <w:formProt w:val="false"/>
          <w:textDirection w:val="lrTb"/>
          <w:docGrid w:type="default" w:linePitch="381" w:charSpace="8192"/>
        </w:sectPr>
        <w:pStyle w:val="14"/>
        <w:numPr>
          <w:ilvl w:val="0"/>
          <w:numId w:val="0"/>
        </w:numPr>
        <w:jc w:val="center"/>
        <w:outlineLvl w:val="0"/>
        <w:rPr/>
      </w:pPr>
      <w:r>
        <w:rPr/>
        <w:t>Новосибирск 2022</w:t>
      </w:r>
    </w:p>
    <w:p>
      <w:pPr>
        <w:pStyle w:val="12"/>
        <w:spacing w:lineRule="auto" w:line="360"/>
        <w:ind w:firstLine="709"/>
        <w:jc w:val="both"/>
        <w:rPr/>
      </w:pPr>
      <w:bookmarkStart w:id="0" w:name="_Toc459779658"/>
      <w:bookmarkEnd w:id="0"/>
      <w:r>
        <w:rPr>
          <w:b/>
          <w:sz w:val="28"/>
          <w:szCs w:val="28"/>
        </w:rPr>
        <w:t>Цель работы.</w:t>
      </w:r>
      <w:r>
        <w:rPr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Исследование устойчивости оценок на наличие в выборке аномальных наблюдений. Исследование эффективности параметрической процедуры исключения аномальных наблюдений при использовании робастных оценок. Построение функций влияния Хампеля для ОМП. Исследование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распределений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статистик типа Граббса, предназначенных для анализа на аномальность сразу нескольких наблюдений.</w:t>
      </w:r>
      <w:r>
        <w:rPr>
          <w:sz w:val="28"/>
          <w:szCs w:val="28"/>
        </w:rPr>
        <w:t xml:space="preserve"> </w:t>
      </w:r>
    </w:p>
    <w:p>
      <w:pPr>
        <w:pStyle w:val="12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517"/>
        <w:gridCol w:w="4175"/>
        <w:gridCol w:w="4663"/>
      </w:tblGrid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pBdr/>
              <w:spacing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pBdr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581025" cy="257175"/>
                  <wp:effectExtent l="0" t="0" r="0" b="0"/>
                  <wp:docPr id="2" name="Изображение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pBdr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685800" cy="266700"/>
                  <wp:effectExtent l="0" t="0" r="0" b="0"/>
                  <wp:docPr id="3" name="Изображение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pBdr/>
              <w:spacing w:before="0"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2</w:t>
            </w:r>
          </w:p>
        </w:tc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pBdr/>
              <w:spacing w:before="0"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Нормальное </w:t>
            </w:r>
          </w:p>
        </w:tc>
        <w:tc>
          <w:tcPr>
            <w:tcW w:w="4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pBdr/>
              <w:spacing w:before="0"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Нормальное с масштабом 5</w:t>
            </w:r>
          </w:p>
        </w:tc>
      </w:tr>
    </w:tbl>
    <w:p>
      <w:pPr>
        <w:pStyle w:val="12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Ход выполнения</w:t>
      </w:r>
      <w:r>
        <w:rPr>
          <w:sz w:val="28"/>
          <w:szCs w:val="28"/>
        </w:rPr>
        <w:t xml:space="preserve"> </w:t>
      </w:r>
    </w:p>
    <w:p>
      <w:pPr>
        <w:pStyle w:val="12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KTAD</w:t>
      </w:r>
      <w:r>
        <w:rPr>
          <w:sz w:val="28"/>
          <w:szCs w:val="28"/>
        </w:rPr>
        <w:t xml:space="preserve"> примерно на 80 странице описано, как формировать засоренное распределение через файл .</w:t>
      </w:r>
      <w:r>
        <w:rPr>
          <w:sz w:val="28"/>
          <w:szCs w:val="28"/>
          <w:lang w:val="en-US"/>
        </w:rPr>
        <w:t>ini</w:t>
      </w:r>
    </w:p>
    <w:p>
      <w:pPr>
        <w:pStyle w:val="Style20"/>
        <w:spacing w:lineRule="auto" w:line="360"/>
        <w:ind w:firstLine="709"/>
        <w:jc w:val="both"/>
        <w:rPr>
          <w:rFonts w:ascii="Times New Roman" w:hAnsi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1. Исследовать робастность оценок максимального правдоподобия (ОМП); ОМП по группированным данным; MD-оценок, минимизирующих расстояния, задаваемые статистиками Колмогорова, 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drawing>
          <wp:inline distT="0" distB="0" distL="0" distR="0">
            <wp:extent cx="266700" cy="266700"/>
            <wp:effectExtent l="0" t="0" r="0" b="0"/>
            <wp:docPr id="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drawing>
          <wp:inline distT="0" distB="0" distL="0" distR="0">
            <wp:extent cx="295275" cy="257175"/>
            <wp:effectExtent l="0" t="0" r="0" b="0"/>
            <wp:docPr id="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Мизеса; 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drawing>
          <wp:inline distT="0" distB="0" distL="0" distR="0">
            <wp:extent cx="190500" cy="219075"/>
            <wp:effectExtent l="0" t="0" r="0" b="0"/>
            <wp:docPr id="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>-оптимальных оценок по выборочным квантилям. Для этого:</w:t>
      </w:r>
    </w:p>
    <w:p>
      <w:pPr>
        <w:pStyle w:val="Style20"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0"/>
        <w:ind w:left="1429" w:right="0" w:hanging="643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моделируются выборки с засорением (2.1), где параметр </w:t>
      </w:r>
      <w:r>
        <w:rPr>
          <w:color w:val="000000"/>
        </w:rPr>
        <w:drawing>
          <wp:inline distT="0" distB="0" distL="0" distR="0">
            <wp:extent cx="1057275" cy="266700"/>
            <wp:effectExtent l="0" t="0" r="0" b="0"/>
            <wp:docPr id="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 xml:space="preserve">; </w:t>
      </w:r>
    </w:p>
    <w:p>
      <w:pPr>
        <w:pStyle w:val="Style20"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0"/>
        <w:ind w:left="1429" w:right="0" w:hanging="643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оцениваются параметры распределения </w:t>
      </w:r>
      <w:r>
        <w:rPr>
          <w:color w:val="000000"/>
        </w:rPr>
        <w:drawing>
          <wp:inline distT="0" distB="0" distL="0" distR="0">
            <wp:extent cx="609600" cy="266700"/>
            <wp:effectExtent l="0" t="0" r="0" b="0"/>
            <wp:docPr id="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всеми методами;</w:t>
      </w:r>
    </w:p>
    <w:p>
      <w:pPr>
        <w:pStyle w:val="Style20"/>
        <w:numPr>
          <w:ilvl w:val="0"/>
          <w:numId w:val="1"/>
        </w:numPr>
        <w:pBdr/>
        <w:tabs>
          <w:tab w:val="clear" w:pos="708"/>
          <w:tab w:val="left" w:pos="0" w:leader="none"/>
        </w:tabs>
        <w:spacing w:before="0" w:after="0"/>
        <w:ind w:left="1429" w:right="0" w:hanging="643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сравниваются значения оценок при разных значениях </w:t>
      </w:r>
      <w:r>
        <w:rPr>
          <w:color w:val="000000"/>
        </w:rPr>
        <w:drawing>
          <wp:inline distT="0" distB="0" distL="0" distR="0">
            <wp:extent cx="180975" cy="190500"/>
            <wp:effectExtent l="0" t="0" r="0" b="0"/>
            <wp:docPr id="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.</w:t>
      </w:r>
    </w:p>
    <w:p>
      <w:pPr>
        <w:pStyle w:val="12"/>
        <w:spacing w:lineRule="auto" w:line="360"/>
        <w:ind w:firstLine="709"/>
        <w:jc w:val="both"/>
        <w:rPr>
          <w:i/>
          <w:i/>
          <w:sz w:val="28"/>
          <w:szCs w:val="28"/>
          <w:lang w:val="en-US"/>
        </w:rPr>
      </w:pPr>
      <w:r>
        <w:rPr/>
      </w:r>
    </w:p>
    <w:p>
      <w:pPr>
        <w:pStyle w:val="Style20"/>
        <w:spacing w:lineRule="auto" w:line="360"/>
        <w:ind w:firstLine="709"/>
        <w:jc w:val="both"/>
        <w:rPr>
          <w:rFonts w:ascii="Times New Roman" w:hAnsi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Были смоделированы выборки с засорением </w:t>
      </w:r>
    </w:p>
    <w:p>
      <w:pPr>
        <w:pStyle w:val="Style20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drawing>
          <wp:inline distT="0" distB="0" distL="0" distR="0">
            <wp:extent cx="2647950" cy="304800"/>
            <wp:effectExtent l="0" t="0" r="0" b="0"/>
            <wp:docPr id="1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Style20"/>
        <w:spacing w:lineRule="auto" w:line="360"/>
        <w:ind w:firstLine="709"/>
        <w:jc w:val="both"/>
        <w:rPr>
          <w:rFonts w:ascii="Times New Roman" w:hAnsi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 xml:space="preserve">с различной долей засорения 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en-US"/>
        </w:rPr>
        <w:t xml:space="preserve">v=0, 0.1, 0.2. </w:t>
      </w: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Объем выборки — 1000.</w:t>
      </w:r>
    </w:p>
    <w:p>
      <w:pPr>
        <w:pStyle w:val="Style20"/>
        <w:spacing w:lineRule="auto" w:line="360"/>
        <w:ind w:firstLine="709"/>
        <w:jc w:val="both"/>
        <w:rPr>
          <w:rFonts w:ascii="Times New Roman" w:hAnsi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Оценим параметры нормального распределения требуемыми методами:</w:t>
      </w:r>
    </w:p>
    <w:p>
      <w:pPr>
        <w:pStyle w:val="Style20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i w:val="false"/>
          <w:iCs w:val="false"/>
          <w:lang w:val="ru-RU"/>
        </w:rPr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13970</wp:posOffset>
                </wp:positionH>
                <wp:positionV relativeFrom="paragraph">
                  <wp:posOffset>235585</wp:posOffset>
                </wp:positionV>
                <wp:extent cx="1189355" cy="459740"/>
                <wp:effectExtent l="635" t="635" r="635" b="635"/>
                <wp:wrapNone/>
                <wp:docPr id="11" name="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440" cy="459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8.55pt" to="94.7pt,54.7pt" ID="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936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886"/>
        <w:gridCol w:w="1178"/>
        <w:gridCol w:w="1136"/>
        <w:gridCol w:w="1242"/>
        <w:gridCol w:w="1201"/>
        <w:gridCol w:w="1521"/>
        <w:gridCol w:w="1200"/>
      </w:tblGrid>
      <w:tr>
        <w:trPr/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Доля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</w:t>
            </w:r>
          </w:p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2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0.2</w:t>
            </w:r>
          </w:p>
        </w:tc>
      </w:tr>
      <w:tr>
        <w:trPr/>
        <w:tc>
          <w:tcPr>
            <w:tcW w:w="18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σ</w:t>
            </w:r>
          </w:p>
        </w:tc>
      </w:tr>
      <w:tr>
        <w:trPr/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ОМП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0.002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0.9706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0.0368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1.6871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0.0556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2.2367</w:t>
            </w:r>
          </w:p>
        </w:tc>
      </w:tr>
      <w:tr>
        <w:trPr/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ОМП </w:t>
            </w:r>
            <w:r>
              <w:rPr>
                <w:rFonts w:ascii="Times New Roman" w:hAnsi="Times New Roman"/>
                <w:sz w:val="24"/>
                <w:szCs w:val="24"/>
              </w:rPr>
              <w:t>по групп.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-0.0026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0.9862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-0.0009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1.1264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0.0041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1.3357</w:t>
            </w:r>
          </w:p>
        </w:tc>
      </w:tr>
      <w:tr>
        <w:trPr/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Колмогорова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-0.0065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0.9789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1.1572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-0.0243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1.4416</w:t>
            </w:r>
          </w:p>
        </w:tc>
      </w:tr>
      <w:tr>
        <w:trPr/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К-М-С, ɷ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-0.0116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0.976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-0.0136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1.0969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-0.0169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1.247</w:t>
            </w:r>
          </w:p>
        </w:tc>
      </w:tr>
      <w:tr>
        <w:trPr/>
        <w:tc>
          <w:tcPr>
            <w:tcW w:w="18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1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-0.0013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0.9733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-0.0000</w:t>
            </w:r>
          </w:p>
        </w:tc>
        <w:tc>
          <w:tcPr>
            <w:tcW w:w="12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1.0972</w:t>
            </w:r>
          </w:p>
        </w:tc>
        <w:tc>
          <w:tcPr>
            <w:tcW w:w="15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0.0028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1.2674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0"/>
        <w:spacing w:lineRule="auto" w:line="360"/>
        <w:ind w:firstLine="709"/>
        <w:jc w:val="both"/>
        <w:rPr>
          <w:rFonts w:ascii="Times New Roman" w:hAnsi="Times New Roman"/>
          <w:i w:val="false"/>
          <w:i w:val="false"/>
          <w:iCs w:val="false"/>
          <w:lang w:val="ru-RU"/>
        </w:rPr>
      </w:pPr>
      <w:r>
        <w:rPr>
          <w:rFonts w:ascii="Times New Roman" w:hAnsi="Times New Roman"/>
          <w:i w:val="false"/>
          <w:iCs w:val="false"/>
          <w:color w:val="000000"/>
          <w:sz w:val="28"/>
          <w:szCs w:val="28"/>
          <w:lang w:val="ru-RU"/>
        </w:rPr>
        <w:t>Группированная выборка составлена с помощью равночастотного группирования с числом интервалов 10.</w:t>
      </w:r>
    </w:p>
    <w:p>
      <w:pPr>
        <w:pStyle w:val="Style20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i w:val="false"/>
          <w:iCs w:val="false"/>
          <w:lang w:val="ru-RU"/>
        </w:rPr>
      </w:r>
    </w:p>
    <w:p>
      <w:pPr>
        <w:pStyle w:val="Style20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i w:val="false"/>
          <w:iCs w:val="false"/>
          <w:lang w:val="ru-RU"/>
        </w:rPr>
      </w:r>
    </w:p>
    <w:p>
      <w:pPr>
        <w:pStyle w:val="Style20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i w:val="false"/>
          <w:iCs w:val="false"/>
          <w:lang w:val="ru-RU"/>
        </w:rPr>
      </w:r>
    </w:p>
    <w:p>
      <w:pPr>
        <w:pStyle w:val="12"/>
        <w:spacing w:lineRule="auto" w:line="360" w:before="283" w:after="200"/>
        <w:ind w:firstLine="709"/>
        <w:jc w:val="both"/>
        <w:rPr/>
      </w:pPr>
      <w:r>
        <w:rPr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color w:val="000000"/>
          <w:sz w:val="28"/>
        </w:rPr>
        <w:t xml:space="preserve">Отбраковка аномальных наблюдений. Используя параметрическую процедуру отбраковки аномальных наблюдений очистить полученные в п.1 выборки от аномальных наблюдений и проверить, как изменились результаты применения критериев для проверки согласия эмпирического распределения с распределением </w:t>
      </w:r>
      <w:r>
        <w:rPr>
          <w:color w:val="000000"/>
        </w:rPr>
        <w:drawing>
          <wp:inline distT="0" distB="0" distL="0" distR="0">
            <wp:extent cx="609600" cy="266700"/>
            <wp:effectExtent l="0" t="0" r="0" b="0"/>
            <wp:docPr id="1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после удаления части наблюдений.</w:t>
      </w:r>
    </w:p>
    <w:p>
      <w:pPr>
        <w:pStyle w:val="12"/>
        <w:spacing w:lineRule="auto" w:line="360" w:before="283" w:after="200"/>
        <w:ind w:firstLine="709"/>
        <w:jc w:val="both"/>
        <w:rPr/>
      </w:pPr>
      <w:r>
        <w:rPr>
          <w:rFonts w:ascii="Times New Roman" w:hAnsi="Times New Roman"/>
          <w:color w:val="000000"/>
          <w:sz w:val="28"/>
        </w:rPr>
        <w:t>Для</w:t>
      </w:r>
      <w:r>
        <w:rPr>
          <w:rFonts w:ascii="Times New Roman" w:hAnsi="Times New Roman"/>
          <w:color w:val="000000"/>
          <w:sz w:val="28"/>
          <w:lang w:val="ru-RU"/>
        </w:rPr>
        <w:t xml:space="preserve"> выборки с </w:t>
      </w:r>
      <w:r>
        <w:rPr>
          <w:rFonts w:ascii="Times New Roman" w:hAnsi="Times New Roman"/>
          <w:color w:val="000000"/>
          <w:sz w:val="28"/>
          <w:lang w:val="en-US"/>
        </w:rPr>
        <w:t xml:space="preserve">v=0 </w:t>
      </w:r>
      <w:r>
        <w:rPr>
          <w:rFonts w:ascii="Times New Roman" w:hAnsi="Times New Roman"/>
          <w:color w:val="000000"/>
          <w:sz w:val="28"/>
          <w:lang w:val="ru-RU"/>
        </w:rPr>
        <w:t xml:space="preserve">аномальные наблюдения не были обнаружены. У выборки </w:t>
      </w:r>
      <w:r>
        <w:rPr>
          <w:rFonts w:ascii="Times New Roman" w:hAnsi="Times New Roman"/>
          <w:color w:val="000000"/>
          <w:sz w:val="28"/>
          <w:lang w:val="en-US"/>
        </w:rPr>
        <w:t xml:space="preserve">v=0.1 </w:t>
      </w:r>
      <w:r>
        <w:rPr>
          <w:rFonts w:ascii="Times New Roman" w:hAnsi="Times New Roman"/>
          <w:color w:val="000000"/>
          <w:sz w:val="28"/>
          <w:lang w:val="ru-RU"/>
        </w:rPr>
        <w:t xml:space="preserve">было удалено 17 наблюдений. У выборки </w:t>
      </w:r>
      <w:r>
        <w:rPr>
          <w:rFonts w:ascii="Times New Roman" w:hAnsi="Times New Roman"/>
          <w:color w:val="000000"/>
          <w:sz w:val="28"/>
          <w:lang w:val="en-US"/>
        </w:rPr>
        <w:t>v=0.2</w:t>
      </w:r>
      <w:r>
        <w:rPr>
          <w:rFonts w:ascii="Times New Roman" w:hAnsi="Times New Roman"/>
          <w:color w:val="000000"/>
          <w:sz w:val="28"/>
          <w:lang w:val="ru-RU"/>
        </w:rPr>
        <w:t xml:space="preserve"> было удалено 58 наблюдений.</w:t>
      </w:r>
    </w:p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13970</wp:posOffset>
                </wp:positionH>
                <wp:positionV relativeFrom="paragraph">
                  <wp:posOffset>235585</wp:posOffset>
                </wp:positionV>
                <wp:extent cx="1801495" cy="501015"/>
                <wp:effectExtent l="635" t="635" r="635" b="635"/>
                <wp:wrapNone/>
                <wp:docPr id="13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40" cy="501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1pt,18.55pt" to="142.9pt,57.95pt" ID="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936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9"/>
        <w:gridCol w:w="1358"/>
        <w:gridCol w:w="1522"/>
        <w:gridCol w:w="1585"/>
        <w:gridCol w:w="1558"/>
        <w:gridCol w:w="1742"/>
      </w:tblGrid>
      <w:tr>
        <w:trPr/>
        <w:tc>
          <w:tcPr>
            <w:tcW w:w="29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   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ru-RU"/>
              </w:rPr>
              <w:t xml:space="preserve">Доля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</w:t>
            </w:r>
          </w:p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3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0.2</w:t>
            </w:r>
          </w:p>
        </w:tc>
      </w:tr>
      <w:tr>
        <w:trPr/>
        <w:tc>
          <w:tcPr>
            <w:tcW w:w="295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σ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μ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σ</w:t>
            </w:r>
          </w:p>
        </w:tc>
      </w:tr>
      <w:tr>
        <w:trPr/>
        <w:tc>
          <w:tcPr>
            <w:tcW w:w="15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ОМП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0.0368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1.6871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0.0556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2.2367</w:t>
            </w:r>
          </w:p>
        </w:tc>
      </w:tr>
      <w:tr>
        <w:trPr/>
        <w:tc>
          <w:tcPr>
            <w:tcW w:w="1599" w:type="dxa"/>
            <w:vMerge w:val="continue"/>
            <w:tcBorders>
              <w:lef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0.0044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1.2494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6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0.0012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1.4283</w:t>
            </w:r>
          </w:p>
        </w:tc>
      </w:tr>
      <w:tr>
        <w:trPr/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ОМП </w:t>
            </w:r>
            <w:r>
              <w:rPr>
                <w:rFonts w:ascii="Times New Roman" w:hAnsi="Times New Roman"/>
                <w:sz w:val="24"/>
                <w:szCs w:val="24"/>
              </w:rPr>
              <w:t>по групп.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-0.0009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1.1264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0.0041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1.3357</w:t>
            </w:r>
          </w:p>
        </w:tc>
      </w:tr>
      <w:tr>
        <w:trPr/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-0.0084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1.0794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-0.0146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1.1754</w:t>
            </w:r>
          </w:p>
        </w:tc>
      </w:tr>
      <w:tr>
        <w:trPr/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Колмогорова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-0.019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1.1572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-0.0243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1.4416</w:t>
            </w:r>
          </w:p>
        </w:tc>
      </w:tr>
      <w:tr>
        <w:trPr/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-0.0236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1.1015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-0.0388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1.243</w:t>
            </w:r>
          </w:p>
        </w:tc>
      </w:tr>
      <w:tr>
        <w:trPr/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К-М-С, ɷ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-0.0136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1.0969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-0.0169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1.247</w:t>
            </w:r>
          </w:p>
        </w:tc>
      </w:tr>
      <w:tr>
        <w:trPr/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-0.017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1.0672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-0.0260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1.1548</w:t>
            </w:r>
          </w:p>
        </w:tc>
      </w:tr>
      <w:tr>
        <w:trPr/>
        <w:tc>
          <w:tcPr>
            <w:tcW w:w="159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исходная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-0.0000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1.0972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0.0028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1.2674</w:t>
            </w:r>
          </w:p>
        </w:tc>
      </w:tr>
      <w:tr>
        <w:trPr/>
        <w:tc>
          <w:tcPr>
            <w:tcW w:w="1599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13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чистая</w:t>
            </w:r>
          </w:p>
        </w:tc>
        <w:tc>
          <w:tcPr>
            <w:tcW w:w="15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-0.0072</w:t>
            </w:r>
          </w:p>
        </w:tc>
        <w:tc>
          <w:tcPr>
            <w:tcW w:w="15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1.0683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-0.0213</w:t>
            </w:r>
          </w:p>
        </w:tc>
        <w:tc>
          <w:tcPr>
            <w:tcW w:w="17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widowControl w:val="false"/>
              <w:spacing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1.1601</w:t>
            </w:r>
          </w:p>
        </w:tc>
      </w:tr>
    </w:tbl>
    <w:p>
      <w:pPr>
        <w:pStyle w:val="12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83" w:after="20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12"/>
        <w:spacing w:lineRule="auto" w:line="360" w:before="283" w:after="20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12"/>
        <w:spacing w:lineRule="auto" w:line="360" w:before="283" w:after="200"/>
        <w:ind w:firstLine="709"/>
        <w:jc w:val="both"/>
        <w:rPr/>
      </w:pPr>
      <w:r>
        <w:rPr>
          <w:rFonts w:ascii="Times New Roman" w:hAnsi="Times New Roman"/>
          <w:color w:val="000000"/>
          <w:sz w:val="28"/>
        </w:rPr>
        <w:t>3. Построить функции влияния Хампеля для ОМП и ОМП по группированным данным.</w:t>
      </w:r>
    </w:p>
    <w:p>
      <w:pPr>
        <w:pStyle w:val="12"/>
        <w:spacing w:lineRule="auto" w:line="360" w:before="283" w:after="20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12"/>
        <w:spacing w:lineRule="auto" w:line="360" w:before="283" w:after="20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12"/>
        <w:spacing w:lineRule="auto" w:line="360" w:before="283" w:after="200"/>
        <w:ind w:firstLine="709"/>
        <w:jc w:val="both"/>
        <w:rPr/>
      </w:pPr>
      <w:r>
        <w:rPr>
          <w:rFonts w:ascii="Times New Roman" w:hAnsi="Times New Roman"/>
          <w:color w:val="000000"/>
          <w:sz w:val="28"/>
        </w:rPr>
        <w:t>4. Исследовать распределения статистик критериев типа Граббса, предназначенных для анализа на аномальность сразу нескольких наблюдений (</w:t>
      </w:r>
      <w:r>
        <w:rPr>
          <w:rFonts w:ascii="Times New Roman" w:hAnsi="Times New Roman"/>
          <w:i/>
          <w:color w:val="000000"/>
          <w:sz w:val="28"/>
        </w:rPr>
        <w:t>по заданию преподавателя</w:t>
      </w:r>
      <w:r>
        <w:rPr>
          <w:rFonts w:ascii="Times New Roman" w:hAnsi="Times New Roman"/>
          <w:color w:val="000000"/>
          <w:sz w:val="28"/>
        </w:rPr>
        <w:t xml:space="preserve">) в предположении о принадлежности выборки нормальному закону. Построить эмпирические распределения для статистик критериев типа Граббса, найти приближенные значения процентных точек. Для вариантов 1-5 применить критерий Граббса для отбраковки аномальных наблюдений по выборкам с засорением, полученным в п.1. </w:t>
      </w:r>
    </w:p>
    <w:p>
      <w:pPr>
        <w:pStyle w:val="12"/>
        <w:spacing w:lineRule="auto" w:line="360" w:before="283" w:after="20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/>
      </w:r>
    </w:p>
    <w:p>
      <w:pPr>
        <w:pStyle w:val="12"/>
        <w:spacing w:lineRule="auto" w:line="360" w:before="283"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 w:before="283"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12"/>
        <w:spacing w:lineRule="auto" w:line="360" w:before="119" w:after="170"/>
        <w:ind w:firstLine="709"/>
        <w:jc w:val="both"/>
        <w:rPr/>
      </w:pPr>
      <w:r>
        <w:rPr>
          <w:sz w:val="28"/>
          <w:szCs w:val="28"/>
        </w:rPr>
        <w:t>По результатам, полученным в ходе выполнения лабораторной работы было установлено, что с ростом объема выборки улучшаются такие свойства оценок как несмещенность, состоятельность и эффективность, также  существенно повышается достигаемый уровень значимости.</w:t>
      </w:r>
    </w:p>
    <w:p>
      <w:pPr>
        <w:pStyle w:val="12"/>
        <w:spacing w:lineRule="auto" w:line="360" w:before="119" w:after="170"/>
        <w:ind w:firstLine="709"/>
        <w:jc w:val="both"/>
        <w:rPr/>
      </w:pPr>
      <w:r>
        <w:rPr>
          <w:sz w:val="28"/>
          <w:szCs w:val="28"/>
        </w:rPr>
        <w:t xml:space="preserve">Наиболее эффективным методом можно назвать оценку максимального правдоподобия, обеспечивающую наибольший рост свойств оценки и уровня значимости. В свою очередь выборки, полученные методами </w:t>
      </w:r>
      <w:r>
        <w:rPr>
          <w:sz w:val="28"/>
          <w:szCs w:val="28"/>
          <w:lang w:val="en-US"/>
        </w:rPr>
        <w:t>MD</w:t>
      </w:r>
      <w:r>
        <w:rPr>
          <w:sz w:val="28"/>
          <w:szCs w:val="28"/>
        </w:rPr>
        <w:t xml:space="preserve">-оценки Колмогорова и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-оценки при всех исследуемых объемах выборки отвергали гипотезу о согласии нормальному закону распределения, что говорит об их малой эффективности применительно к моделированию и оценке параметра масштаба распределения Лапласа.</w:t>
      </w:r>
    </w:p>
    <w:sectPr>
      <w:footerReference w:type="default" r:id="rId13"/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auto"/>
    <w:pitch w:val="default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18d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rsid w:val="00937c26"/>
    <w:pPr>
      <w:keepNext w:val="true"/>
      <w:spacing w:lineRule="auto" w:line="240" w:before="240" w:after="60"/>
      <w:outlineLvl w:val="0"/>
    </w:pPr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937c26"/>
    <w:rPr>
      <w:rFonts w:ascii="Times New Roman" w:hAnsi="Times New Roman" w:eastAsia="Times New Roman" w:cs="Times New Roman"/>
      <w:b/>
      <w:bCs/>
      <w:kern w:val="2"/>
      <w:sz w:val="28"/>
      <w:szCs w:val="28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937c26"/>
    <w:rPr>
      <w:rFonts w:ascii="Tahoma" w:hAnsi="Tahoma" w:cs="Tahoma"/>
      <w:sz w:val="16"/>
      <w:szCs w:val="16"/>
    </w:rPr>
  </w:style>
  <w:style w:type="character" w:styleId="Style14">
    <w:name w:val="Hyperlink"/>
    <w:basedOn w:val="DefaultParagraphFont"/>
    <w:uiPriority w:val="99"/>
    <w:unhideWhenUsed/>
    <w:rsid w:val="00937c26"/>
    <w:rPr>
      <w:color w:val="0000FF" w:themeColor="hyperlink"/>
      <w:u w:val="single"/>
    </w:rPr>
  </w:style>
  <w:style w:type="character" w:styleId="Style15">
    <w:name w:val="FollowedHyperlink"/>
    <w:rPr>
      <w:color w:val="800000"/>
      <w:u w:val="single"/>
    </w:rPr>
  </w:style>
  <w:style w:type="character" w:styleId="Style16" w:customStyle="1">
    <w:name w:val="Символ нумерации"/>
    <w:qFormat/>
    <w:rPr/>
  </w:style>
  <w:style w:type="character" w:styleId="Style17" w:customStyle="1">
    <w:name w:val="Верхний колонтитул Знак"/>
    <w:basedOn w:val="DefaultParagraphFont"/>
    <w:uiPriority w:val="99"/>
    <w:qFormat/>
    <w:rsid w:val="00667dcd"/>
    <w:rPr/>
  </w:style>
  <w:style w:type="character" w:styleId="Style18">
    <w:name w:val="Маркеры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before="0" w:after="14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4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12" w:customStyle="1">
    <w:name w:val="Обычный1"/>
    <w:qFormat/>
    <w:rsid w:val="00937c2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937c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Style27" w:customStyle="1">
    <w:name w:val="Содержимое врезки"/>
    <w:basedOn w:val="Normal"/>
    <w:qFormat/>
    <w:pPr/>
    <w:rPr/>
  </w:style>
  <w:style w:type="paragraph" w:styleId="14" w:customStyle="1">
    <w:name w:val="14 пт"/>
    <w:basedOn w:val="Normal"/>
    <w:qFormat/>
    <w:pPr>
      <w:spacing w:lineRule="auto" w:line="360"/>
      <w:jc w:val="both"/>
    </w:pPr>
    <w:rPr>
      <w:rFonts w:ascii="Times New Roman" w:hAnsi="Times New Roman"/>
      <w:sz w:val="28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jc w:val="both"/>
    </w:pPr>
    <w:rPr>
      <w:rFonts w:ascii="Times New Roman" w:hAnsi="Times New Roman" w:eastAsia="Calibri" w:cs="Times New Roman"/>
      <w:sz w:val="28"/>
    </w:rPr>
  </w:style>
  <w:style w:type="paragraph" w:styleId="Style30">
    <w:name w:val="Header"/>
    <w:basedOn w:val="Normal"/>
    <w:link w:val="Style17"/>
    <w:uiPriority w:val="99"/>
    <w:unhideWhenUsed/>
    <w:rsid w:val="00667dc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VX" w:customStyle="1">
    <w:name w:val="Нумерованный IVX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Application>LibreOffice/7.4.0.3$Windows_X86_64 LibreOffice_project/f85e47c08ddd19c015c0114a68350214f7066f5a</Application>
  <AppVersion>15.0000</AppVersion>
  <Pages>5</Pages>
  <Words>549</Words>
  <Characters>3749</Characters>
  <CharactersWithSpaces>4215</CharactersWithSpaces>
  <Paragraphs>153</Paragraphs>
  <Company>NSTU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2022-09-01T03:36:00Z</dcterms:created>
  <dc:creator>Лоточ</dc:creator>
  <dc:description/>
  <dc:language>ru-RU</dc:language>
  <cp:lastModifiedBy/>
  <dcterms:modified xsi:type="dcterms:W3CDTF">2022-11-10T04:01:58Z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