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Web"/>
        <w:spacing w:before="280" w:after="280"/>
        <w:ind w:hanging="0" w:start="360"/>
        <w:rPr>
          <w:b/>
          <w:bCs/>
        </w:rPr>
      </w:pPr>
      <w:r>
        <w:rPr>
          <w:b/>
          <w:bCs/>
        </w:rPr>
        <w:t>МИНИСТЕРСТВО ОБРАЗОВАНИЯ И НАУКИ КЫРГЫЗСКОЙ РЕСПУБЛИКИ</w:t>
      </w:r>
    </w:p>
    <w:p>
      <w:pPr>
        <w:pStyle w:val="NormalWeb"/>
        <w:spacing w:beforeAutospacing="0" w:before="0" w:afterAutospacing="0" w:after="0"/>
        <w:ind w:hanging="0" w:start="360"/>
        <w:jc w:val="center"/>
        <w:rPr>
          <w:b/>
          <w:bCs/>
        </w:rPr>
      </w:pPr>
      <w:r>
        <w:rPr>
          <w:b/>
          <w:bCs/>
        </w:rPr>
        <w:t xml:space="preserve">Профессиональный лицей информационных технологий №99 при </w:t>
      </w:r>
    </w:p>
    <w:p>
      <w:pPr>
        <w:pStyle w:val="NormalWeb"/>
        <w:spacing w:beforeAutospacing="0" w:before="0" w:afterAutospacing="0" w:after="0"/>
        <w:ind w:hanging="0" w:start="360"/>
        <w:jc w:val="center"/>
        <w:rPr>
          <w:b/>
          <w:bCs/>
        </w:rPr>
      </w:pPr>
      <w:r>
        <w:rPr>
          <w:b/>
          <w:bCs/>
        </w:rPr>
        <w:t>Президенте Кыргызской Республики</w:t>
      </w:r>
    </w:p>
    <w:p>
      <w:pPr>
        <w:pStyle w:val="NormalWeb"/>
        <w:spacing w:before="280" w:after="280"/>
        <w:ind w:hanging="0" w:start="360"/>
        <w:rPr>
          <w:rFonts w:ascii="Arial" w:hAnsi="Arial" w:cs="Arial"/>
          <w:b/>
          <w:bCs/>
          <w:color w:val="828282"/>
        </w:rPr>
      </w:pPr>
      <w:r>
        <w:rPr>
          <w:rFonts w:cs="Arial" w:ascii="Arial" w:hAnsi="Arial"/>
          <w:b/>
          <w:bCs/>
          <w:color w:val="828282"/>
        </w:rPr>
      </w:r>
    </w:p>
    <w:p>
      <w:pPr>
        <w:pStyle w:val="NormalWeb"/>
        <w:spacing w:before="280" w:after="280"/>
        <w:ind w:hanging="0" w:start="360"/>
        <w:rPr>
          <w:rFonts w:ascii="Arial" w:hAnsi="Arial" w:cs="Arial"/>
          <w:b/>
          <w:bCs/>
          <w:color w:val="828282"/>
        </w:rPr>
      </w:pPr>
      <w:r>
        <w:rPr>
          <w:rFonts w:cs="Arial" w:ascii="Arial" w:hAnsi="Arial"/>
          <w:b/>
          <w:bCs/>
          <w:color w:val="828282"/>
        </w:rPr>
      </w:r>
    </w:p>
    <w:p>
      <w:pPr>
        <w:pStyle w:val="NormalWeb"/>
        <w:spacing w:before="280" w:after="280"/>
        <w:ind w:hanging="0" w:start="360"/>
        <w:rPr>
          <w:rFonts w:ascii="Arial" w:hAnsi="Arial" w:cs="Arial"/>
          <w:b/>
          <w:bCs/>
          <w:color w:val="828282"/>
        </w:rPr>
      </w:pPr>
      <w:r>
        <w:rPr>
          <w:rFonts w:cs="Arial" w:ascii="Arial" w:hAnsi="Arial"/>
          <w:b/>
          <w:bCs/>
          <w:color w:val="828282"/>
        </w:rPr>
      </w:r>
    </w:p>
    <w:p>
      <w:pPr>
        <w:pStyle w:val="NormalWeb"/>
        <w:spacing w:before="280" w:after="280"/>
        <w:ind w:hanging="0" w:start="360"/>
        <w:rPr>
          <w:rFonts w:ascii="Arial" w:hAnsi="Arial" w:cs="Arial"/>
          <w:b/>
          <w:bCs/>
          <w:color w:val="828282"/>
        </w:rPr>
      </w:pPr>
      <w:r>
        <w:rPr>
          <w:rFonts w:cs="Arial" w:ascii="Arial" w:hAnsi="Arial"/>
          <w:b/>
          <w:bCs/>
          <w:color w:val="828282"/>
        </w:rPr>
      </w:r>
    </w:p>
    <w:p>
      <w:pPr>
        <w:pStyle w:val="NormalWeb"/>
        <w:spacing w:before="280" w:after="280"/>
        <w:ind w:firstLine="708" w:start="708"/>
        <w:rPr>
          <w:b/>
          <w:sz w:val="28"/>
          <w:szCs w:val="28"/>
        </w:rPr>
      </w:pPr>
      <w:r>
        <w:rPr>
          <w:b/>
          <w:sz w:val="28"/>
          <w:szCs w:val="28"/>
        </w:rPr>
        <w:t>ВЫПУСКНАЯ КВАЛИФИКАЦИОННАЯ РАБОТА</w:t>
      </w:r>
    </w:p>
    <w:p>
      <w:pPr>
        <w:pStyle w:val="NormalWeb"/>
        <w:spacing w:before="280" w:after="280"/>
        <w:ind w:firstLine="348" w:start="3192"/>
        <w:rPr/>
      </w:pPr>
      <w:r>
        <w:rPr/>
        <w:t>(</w:t>
      </w:r>
      <w:r>
        <w:rPr>
          <w:b/>
          <w:sz w:val="28"/>
          <w:szCs w:val="28"/>
        </w:rPr>
        <w:t>дипломный проект</w:t>
      </w:r>
      <w:r>
        <w:rPr/>
        <w:t>)</w:t>
      </w:r>
    </w:p>
    <w:p>
      <w:pPr>
        <w:pStyle w:val="NormalWeb"/>
        <w:spacing w:before="280" w:after="280"/>
        <w:ind w:hanging="0" w:star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Web"/>
        <w:spacing w:before="280" w:after="280"/>
        <w:ind w:hanging="0" w:star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Тема: «Sweez-Customs»</w:t>
      </w:r>
    </w:p>
    <w:p>
      <w:pPr>
        <w:pStyle w:val="NormalWeb"/>
        <w:spacing w:before="280" w:after="280"/>
        <w:ind w:hanging="0" w:start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Web"/>
        <w:spacing w:before="280" w:after="280"/>
        <w:ind w:hanging="0" w:start="360"/>
        <w:rPr>
          <w:rFonts w:ascii="Arial" w:hAnsi="Arial" w:cs="Arial"/>
          <w:b/>
          <w:bCs/>
          <w:color w:val="828282"/>
        </w:rPr>
      </w:pPr>
      <w:r>
        <w:rPr/>
        <w:t>Направление подготовки:</w:t>
      </w:r>
    </w:p>
    <w:p>
      <w:pPr>
        <w:pStyle w:val="NormalWeb"/>
        <w:spacing w:before="280" w:after="280"/>
        <w:ind w:firstLine="348" w:start="1776"/>
        <w:rPr>
          <w:b/>
          <w:bCs/>
        </w:rPr>
      </w:pPr>
      <w:r>
        <w:rPr>
          <w:b/>
          <w:bCs/>
        </w:rPr>
        <w:t>"</w:t>
      </w:r>
      <w:r>
        <w:rPr>
          <w:b/>
          <w:bCs/>
          <w:lang w:val="en-US"/>
        </w:rPr>
        <w:t>Backend</w:t>
      </w:r>
      <w:r>
        <w:rPr>
          <w:b/>
          <w:bCs/>
        </w:rPr>
        <w:t xml:space="preserve"> разработчик"</w:t>
      </w:r>
    </w:p>
    <w:p>
      <w:pPr>
        <w:pStyle w:val="NormalWeb"/>
        <w:spacing w:before="280" w:after="280"/>
        <w:ind w:firstLine="709" w:start="1418"/>
        <w:rPr>
          <w:b/>
          <w:bCs/>
        </w:rPr>
      </w:pPr>
      <w:r>
        <w:rPr>
          <w:b/>
          <w:bCs/>
        </w:rPr>
        <w:t>Квалификация  “Разработчик серверных приложений и систем ”</w:t>
      </w:r>
    </w:p>
    <w:p>
      <w:pPr>
        <w:pStyle w:val="NormalWeb"/>
        <w:spacing w:before="280" w:after="280"/>
        <w:ind w:hanging="0" w:start="360"/>
        <w:rPr>
          <w:rFonts w:ascii="Arial" w:hAnsi="Arial" w:cs="Arial"/>
          <w:b/>
          <w:bCs/>
          <w:color w:val="828282"/>
        </w:rPr>
      </w:pPr>
      <w:r>
        <w:rPr>
          <w:rFonts w:cs="Arial" w:ascii="Arial" w:hAnsi="Arial"/>
          <w:b/>
          <w:bCs/>
          <w:color w:val="828282"/>
        </w:rPr>
      </w:r>
    </w:p>
    <w:p>
      <w:pPr>
        <w:pStyle w:val="NormalWeb"/>
        <w:spacing w:before="280" w:after="280"/>
        <w:ind w:hanging="0" w:start="360"/>
        <w:rPr>
          <w:b/>
          <w:bCs/>
        </w:rPr>
      </w:pPr>
      <w:r>
        <w:rPr>
          <w:rFonts w:cs="Arial" w:ascii="Arial" w:hAnsi="Arial"/>
          <w:b/>
          <w:bCs/>
          <w:color w:val="828282"/>
        </w:rPr>
        <w:tab/>
        <w:tab/>
        <w:tab/>
        <w:tab/>
        <w:tab/>
        <w:tab/>
      </w:r>
      <w:r>
        <w:rPr>
          <w:b/>
          <w:bCs/>
        </w:rPr>
        <w:t>Выполнил: учащийся группы БР-½-24</w:t>
      </w:r>
    </w:p>
    <w:p>
      <w:pPr>
        <w:pStyle w:val="NormalWeb"/>
        <w:spacing w:before="280" w:after="280"/>
        <w:ind w:hanging="0" w:start="360"/>
        <w:rPr>
          <w:b/>
          <w:bCs/>
          <w:color w:val="828282"/>
        </w:rPr>
      </w:pPr>
      <w:r>
        <w:rPr>
          <w:b/>
          <w:bCs/>
          <w:color w:val="828282"/>
        </w:rPr>
        <w:tab/>
        <w:tab/>
        <w:tab/>
        <w:tab/>
        <w:tab/>
        <w:tab/>
      </w:r>
      <w:r>
        <w:rPr>
          <w:b/>
          <w:bCs/>
        </w:rPr>
        <w:t xml:space="preserve">ФИО: </w:t>
      </w:r>
      <w:r>
        <w:rPr>
          <w:b/>
          <w:bCs/>
          <w:color w:themeColor="text1" w:val="000000"/>
        </w:rPr>
        <w:t>Даутов Муслим Шамильевич</w:t>
      </w:r>
    </w:p>
    <w:p>
      <w:pPr>
        <w:pStyle w:val="NormalWeb"/>
        <w:spacing w:before="280" w:after="280"/>
        <w:ind w:hanging="0" w:start="360"/>
        <w:rPr>
          <w:b/>
          <w:bCs/>
        </w:rPr>
      </w:pPr>
      <w:r>
        <w:rPr>
          <w:b/>
          <w:bCs/>
          <w:color w:val="828282"/>
        </w:rPr>
        <w:tab/>
        <w:tab/>
        <w:tab/>
        <w:tab/>
        <w:tab/>
        <w:tab/>
      </w:r>
      <w:r>
        <w:rPr>
          <w:b/>
        </w:rPr>
        <w:t>Руководитель</w:t>
      </w:r>
      <w:r>
        <w:rPr>
          <w:b/>
          <w:bCs/>
          <w:color w:themeColor="text1" w:val="000000"/>
        </w:rPr>
        <w:t>:</w:t>
      </w:r>
      <w:r>
        <w:rPr>
          <w:b/>
          <w:bCs/>
          <w:color w:val="828282"/>
        </w:rPr>
        <w:t xml:space="preserve"> </w:t>
      </w:r>
      <w:r>
        <w:rPr>
          <w:b/>
          <w:bCs/>
        </w:rPr>
        <w:t>мастер п/о</w:t>
      </w:r>
    </w:p>
    <w:p>
      <w:pPr>
        <w:pStyle w:val="NormalWeb"/>
        <w:spacing w:before="280" w:after="280"/>
        <w:ind w:hanging="0" w:start="360"/>
        <w:rPr>
          <w:b/>
          <w:bCs/>
          <w:iCs/>
          <w:color w:themeColor="text1" w:val="000000"/>
        </w:rPr>
      </w:pPr>
      <w:r>
        <w:rPr>
          <w:b/>
          <w:bCs/>
          <w:color w:val="828282"/>
        </w:rPr>
        <w:tab/>
        <w:tab/>
        <w:tab/>
        <w:tab/>
        <w:tab/>
        <w:tab/>
      </w:r>
      <w:r>
        <w:rPr>
          <w:b/>
          <w:color w:themeColor="text1" w:val="000000"/>
        </w:rPr>
        <w:t>Солодянкин Александр</w:t>
      </w:r>
    </w:p>
    <w:p>
      <w:pPr>
        <w:pStyle w:val="Normal"/>
        <w:ind w:firstLine="709" w:start="360"/>
        <w:rPr>
          <w:b/>
          <w:bCs/>
          <w:iCs/>
        </w:rPr>
      </w:pPr>
      <w:r>
        <w:rPr>
          <w:b/>
          <w:bCs/>
          <w:iCs/>
        </w:rPr>
      </w:r>
    </w:p>
    <w:p>
      <w:pPr>
        <w:pStyle w:val="Normal"/>
        <w:ind w:firstLine="709" w:start="360"/>
        <w:rPr>
          <w:b/>
          <w:bCs/>
          <w:iCs/>
        </w:rPr>
      </w:pPr>
      <w:r>
        <w:rPr>
          <w:b/>
          <w:bCs/>
          <w:iCs/>
        </w:rPr>
      </w:r>
    </w:p>
    <w:p>
      <w:pPr>
        <w:pStyle w:val="Normal"/>
        <w:ind w:firstLine="709" w:start="360"/>
        <w:rPr>
          <w:b/>
          <w:bCs/>
          <w:iCs/>
        </w:rPr>
      </w:pPr>
      <w:r>
        <w:rPr>
          <w:b/>
          <w:bCs/>
          <w:iCs/>
        </w:rPr>
      </w:r>
    </w:p>
    <w:p>
      <w:pPr>
        <w:pStyle w:val="Normal"/>
        <w:ind w:firstLine="709" w:start="360"/>
        <w:rPr>
          <w:b/>
          <w:bCs/>
          <w:iCs/>
        </w:rPr>
      </w:pPr>
      <w:r>
        <w:rPr>
          <w:b/>
          <w:bCs/>
          <w:iCs/>
        </w:rPr>
      </w:r>
    </w:p>
    <w:p>
      <w:pPr>
        <w:pStyle w:val="Normal"/>
        <w:ind w:firstLine="709" w:start="360"/>
        <w:rPr>
          <w:b/>
          <w:bCs/>
          <w:iCs/>
        </w:rPr>
      </w:pPr>
      <w:r>
        <w:rPr>
          <w:b/>
          <w:bCs/>
          <w:iCs/>
        </w:rPr>
      </w:r>
    </w:p>
    <w:p>
      <w:pPr>
        <w:pStyle w:val="Normal"/>
        <w:spacing w:lineRule="atLeast" w:line="294"/>
        <w:ind w:hanging="0"/>
        <w:rPr>
          <w:b/>
          <w:bCs/>
          <w:iCs/>
        </w:rPr>
      </w:pPr>
      <w:r>
        <w:rPr>
          <w:b/>
          <w:bCs/>
          <w:iCs/>
        </w:rPr>
      </w:r>
    </w:p>
    <w:p>
      <w:pPr>
        <w:pStyle w:val="Normal"/>
        <w:spacing w:lineRule="atLeast" w:line="294"/>
        <w:ind w:hanging="0"/>
        <w:rPr>
          <w:b/>
          <w:bCs/>
          <w:iCs/>
        </w:rPr>
      </w:pPr>
      <w:r>
        <w:rPr>
          <w:b/>
          <w:bCs/>
          <w:iCs/>
        </w:rPr>
      </w:r>
    </w:p>
    <w:p>
      <w:pPr>
        <w:pStyle w:val="Normal"/>
        <w:spacing w:lineRule="atLeast" w:line="294"/>
        <w:ind w:hanging="0"/>
        <w:rPr>
          <w:b/>
          <w:bCs/>
          <w:iCs/>
        </w:rPr>
      </w:pPr>
      <w:r>
        <w:rPr>
          <w:b/>
          <w:bCs/>
          <w:iCs/>
        </w:rPr>
      </w:r>
    </w:p>
    <w:p>
      <w:pPr>
        <w:pStyle w:val="Normal"/>
        <w:spacing w:lineRule="atLeast" w:line="294"/>
        <w:ind w:hanging="0"/>
        <w:rPr>
          <w:b/>
          <w:bCs/>
          <w:iCs/>
        </w:rPr>
      </w:pPr>
      <w:r>
        <w:rPr>
          <w:b/>
          <w:bCs/>
          <w:iCs/>
        </w:rPr>
      </w:r>
    </w:p>
    <w:p>
      <w:pPr>
        <w:sectPr>
          <w:type w:val="nextPage"/>
          <w:pgSz w:w="11906" w:h="16838"/>
          <w:pgMar w:left="1418" w:right="851" w:gutter="0" w:header="0" w:top="851" w:footer="0" w:bottom="851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tLeast" w:line="294"/>
        <w:ind w:hanging="0"/>
        <w:jc w:val="center"/>
        <w:rPr>
          <w:b/>
          <w:bCs/>
          <w:iCs/>
        </w:rPr>
      </w:pPr>
      <w:r>
        <w:rPr>
          <w:b/>
          <w:bCs/>
          <w:iCs/>
        </w:rPr>
        <w:t>Бишкек, 2026</w:t>
      </w:r>
    </w:p>
    <w:p>
      <w:pPr>
        <w:pStyle w:val="Normal"/>
        <w:ind w:hanging="0"/>
        <w:jc w:val="center"/>
        <w:rPr>
          <w:b/>
          <w:bCs/>
        </w:rPr>
      </w:pPr>
      <w:r>
        <w:rPr>
          <w:b/>
          <w:bCs/>
        </w:rPr>
        <w:t>ПАСПОРТ УЧЕБНОГО ПРОЕКТА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60" w:leader="none"/>
        </w:tabs>
        <w:spacing w:lineRule="auto" w:line="360"/>
        <w:ind w:hanging="360" w:start="360"/>
        <w:rPr/>
      </w:pPr>
      <w:r>
        <w:rPr/>
        <w:t xml:space="preserve">Название проекта: </w:t>
      </w:r>
      <w:r>
        <w:rPr>
          <w:lang w:val="ru-RU"/>
        </w:rPr>
        <w:t>Sweez-Customs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60" w:leader="none"/>
        </w:tabs>
        <w:spacing w:lineRule="auto" w:line="360"/>
        <w:ind w:hanging="360" w:start="360"/>
        <w:rPr/>
      </w:pPr>
      <w:r>
        <w:rPr/>
        <w:t xml:space="preserve">Автор проекта </w:t>
      </w:r>
      <w:r>
        <w:rPr>
          <w:lang w:val="ru-RU"/>
        </w:rPr>
        <w:t>Даутов Муслим Шамильевич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60" w:leader="none"/>
        </w:tabs>
        <w:spacing w:lineRule="auto" w:line="360"/>
        <w:ind w:firstLine="709" w:start="-709"/>
        <w:rPr/>
      </w:pPr>
      <w:r>
        <w:rPr/>
        <w:t>Тип проекта</w:t>
      </w:r>
      <w:r>
        <w:rPr>
          <w:lang w:val="ru-RU"/>
        </w:rPr>
        <w:t>:</w:t>
      </w:r>
      <w:r>
        <w:rPr/>
        <w:t xml:space="preserve"> Веб</w:t>
      </w:r>
      <w:r>
        <w:rPr>
          <w:lang w:val="ru-RU"/>
        </w:rPr>
        <w:t>-</w:t>
      </w:r>
      <w:r>
        <w:rPr/>
        <w:t>приложение</w:t>
      </w:r>
      <w:r>
        <w:rPr>
          <w:lang w:val="ru-RU"/>
        </w:rPr>
        <w:t xml:space="preserve"> (</w:t>
      </w:r>
      <w:r>
        <w:rPr>
          <w:lang w:val="en-US"/>
        </w:rPr>
        <w:t>REST</w:t>
      </w:r>
      <w:r>
        <w:rPr>
          <w:lang w:val="ru-RU"/>
        </w:rPr>
        <w:t xml:space="preserve"> </w:t>
      </w:r>
      <w:r>
        <w:rPr>
          <w:lang w:val="en-US"/>
        </w:rPr>
        <w:t>API</w:t>
      </w:r>
      <w:r>
        <w:rPr>
          <w:lang w:val="ru-RU"/>
        </w:rPr>
        <w:t xml:space="preserve"> </w:t>
      </w:r>
      <w:r>
        <w:rPr>
          <w:lang w:val="en-US"/>
        </w:rPr>
        <w:t>Backend</w:t>
      </w:r>
      <w:r>
        <w:rPr>
          <w:lang w:val="ru-RU"/>
        </w:rPr>
        <w:t>)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60" w:leader="none"/>
        </w:tabs>
        <w:spacing w:lineRule="auto" w:line="360"/>
        <w:ind w:firstLine="709" w:start="-709"/>
        <w:rPr>
          <w:u w:val="single"/>
        </w:rPr>
      </w:pPr>
      <w:r>
        <w:rPr/>
        <w:t>Платформа разработки</w:t>
      </w:r>
      <w:r>
        <w:rPr>
          <w:lang w:val="ru-RU"/>
        </w:rPr>
        <w:t xml:space="preserve">: </w:t>
      </w:r>
      <w:r>
        <w:rPr/>
        <w:t>Java 17, Spring Boot 3.5.7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60" w:leader="none"/>
        </w:tabs>
        <w:spacing w:lineRule="auto" w:line="360"/>
        <w:ind w:firstLine="709" w:start="-709"/>
        <w:rPr/>
      </w:pPr>
      <w:r>
        <w:rPr/>
        <w:t xml:space="preserve">Архитектура: </w:t>
      </w:r>
      <w:r>
        <w:rPr>
          <w:lang w:val="ru-RU"/>
        </w:rPr>
        <w:t>Монолитная REST архитектура с разделением на слои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60" w:leader="none"/>
        </w:tabs>
        <w:spacing w:lineRule="auto" w:line="360"/>
        <w:ind w:firstLine="709" w:start="-709"/>
        <w:rPr/>
      </w:pPr>
      <w:r>
        <w:rPr/>
        <w:t>База данных: PostgreSQL 15, MinIO,  Redis, Миграции через Flyway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60" w:leader="none"/>
        </w:tabs>
        <w:spacing w:lineRule="auto" w:line="360"/>
        <w:ind w:firstLine="709" w:start="-709"/>
        <w:rPr/>
      </w:pPr>
      <w:r>
        <w:rPr/>
        <w:t>Документация API</w:t>
      </w:r>
      <w:r>
        <w:rPr>
          <w:lang w:val="en-US"/>
        </w:rPr>
        <w:t xml:space="preserve">: </w:t>
      </w:r>
      <w:r>
        <w:rPr/>
        <w:t>Swagger UI / OpenAPI 3. д.):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60" w:leader="none"/>
        </w:tabs>
        <w:spacing w:lineRule="auto" w:line="360"/>
        <w:ind w:firstLine="709" w:start="-709"/>
        <w:rPr/>
      </w:pPr>
      <w:r>
        <w:rPr/>
        <w:t>Язык программирования: Java 17</w:t>
      </w:r>
      <w:r>
        <w:rPr>
          <w:lang w:val="en-US"/>
        </w:rPr>
        <w:t>, PostgreSQL,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60" w:leader="none"/>
        </w:tabs>
        <w:spacing w:lineRule="auto" w:line="360"/>
        <w:ind w:firstLine="709" w:start="-709"/>
        <w:rPr/>
      </w:pPr>
      <w:r>
        <w:rPr/>
        <w:t>Цели проекта:</w:t>
      </w:r>
    </w:p>
    <w:p>
      <w:pPr>
        <w:pStyle w:val="ListParagraph"/>
        <w:tabs>
          <w:tab w:val="clear" w:pos="709"/>
          <w:tab w:val="left" w:pos="1069" w:leader="none"/>
        </w:tabs>
        <w:spacing w:lineRule="auto" w:line="360"/>
        <w:rPr/>
      </w:pPr>
      <w:r>
        <w:rPr/>
        <w:t>Создание функционально полного серверного приложения, обеспечивающего автоматизацию процессов подачи деклараций через интернет.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60" w:leader="none"/>
        </w:tabs>
        <w:spacing w:lineRule="auto" w:line="360"/>
        <w:ind w:firstLine="709" w:start="-709"/>
        <w:rPr/>
      </w:pPr>
      <w:r>
        <w:rPr/>
        <w:t xml:space="preserve">Фреймворки и библиотеки: </w:t>
      </w:r>
      <w:r>
        <w:rPr>
          <w:lang w:val="en-US"/>
        </w:rPr>
        <w:t>Spring Boot, Spring Data JPA, Lombok,</w:t>
      </w:r>
    </w:p>
    <w:p>
      <w:pPr>
        <w:pStyle w:val="ListParagraph"/>
        <w:tabs>
          <w:tab w:val="clear" w:pos="709"/>
          <w:tab w:val="left" w:pos="1069" w:leader="none"/>
        </w:tabs>
        <w:spacing w:lineRule="auto" w:line="360"/>
        <w:rPr/>
      </w:pPr>
      <w:r>
        <w:rPr>
          <w:lang w:val="en-US"/>
        </w:rPr>
        <w:t>SpringDoc OpenAPI, Spring Ai, Spring Security, JWT, OpenPDF, ThymeLeaf, MapStruct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60" w:leader="none"/>
        </w:tabs>
        <w:spacing w:lineRule="auto" w:line="360"/>
        <w:ind w:firstLine="709" w:start="-709"/>
        <w:rPr/>
      </w:pPr>
      <w:r>
        <w:rPr/>
        <w:t xml:space="preserve">Краткое описание проекта </w:t>
      </w:r>
    </w:p>
    <w:p>
      <w:pPr>
        <w:pStyle w:val="ListParagraph"/>
        <w:spacing w:lineRule="auto" w:line="360"/>
        <w:rPr/>
      </w:pPr>
      <w:r>
        <w:rPr/>
        <w:t>Sweez-Customs  — это централизованная цифровая платформа для автоматизации таможенного оформления в Кыргызской Республике. Система объединяет физических лиц, компании и таможенных инспекторов в единой экосистеме. Пользователь может подавать таможенные декларации на товары и автомобили, отслеживать их статус и получать платёжные счета с автоматически рассчитанными таможенными платежами (НДС, пошлина, акциз) по стандарту ЕАЭС. Компании проходят верификацию, загружают документы, управляют сотрудниками и контрактами. Инспекторы рассматривают и одобряют или отклоняют декларации. Доступ к данным разграничен по ролям, безопасность обеспечивается JWT токенами и ролевой моделью (ADMIN, INSPECTOR, OWNER, MANAGER, ACCOUNTANT, ANALYTIC, LOGISTICIAN, USER).</w:t>
      </w:r>
    </w:p>
    <w:p>
      <w:pPr>
        <w:pStyle w:val="HeadingCentered1"/>
        <w:tabs>
          <w:tab w:val="clear" w:pos="709"/>
          <w:tab w:val="right" w:pos="9072" w:leader="dot"/>
        </w:tabs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hyperlink w:anchor="_Toc232770462">
        <w:r>
          <w:rPr>
            <w:rStyle w:val="Hyperlink"/>
            <w:b/>
            <w:bCs/>
            <w:color w:themeColor="text1" w:val="000000"/>
            <w:u w:val="none"/>
          </w:rPr>
          <w:t>ВВЕДЕНИ</w:t>
        </w:r>
      </w:hyperlink>
      <w:r>
        <w:rPr>
          <w:rStyle w:val="Hyperlink"/>
          <w:b/>
          <w:bCs/>
          <w:color w:themeColor="text1" w:val="000000"/>
          <w:u w:val="none"/>
        </w:rPr>
        <w:t>Е</w:t>
        <w:tab/>
      </w:r>
      <w:r>
        <w:rPr>
          <w:rStyle w:val="Hyperlink"/>
          <w:b/>
          <w:bCs/>
          <w:color w:themeColor="text1" w:val="000000"/>
          <w:u w:val="none"/>
        </w:rPr>
        <w:t>4</w:t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hyperlink w:anchor="_Toc232770463">
        <w:r>
          <w:rPr>
            <w:rStyle w:val="Hyperlink"/>
            <w:b/>
            <w:bCs/>
            <w:color w:themeColor="text1" w:val="000000"/>
            <w:u w:val="none"/>
          </w:rPr>
          <w:t>АНАЛИЗ ПРЕДМЕТНОЙ ОБЛАСТ</w:t>
        </w:r>
      </w:hyperlink>
      <w:r>
        <w:rPr>
          <w:rStyle w:val="Hyperlink"/>
          <w:b/>
          <w:bCs/>
          <w:color w:themeColor="text1" w:val="000000"/>
          <w:u w:val="none"/>
        </w:rPr>
        <w:t>И</w:t>
        <w:tab/>
      </w:r>
      <w:r>
        <w:rPr>
          <w:rStyle w:val="Hyperlink"/>
          <w:b/>
          <w:bCs/>
          <w:color w:themeColor="text1" w:val="000000"/>
          <w:u w:val="none"/>
        </w:rPr>
        <w:t>6</w:t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hyperlink w:anchor="_Toc232770464">
        <w:r>
          <w:rPr>
            <w:rStyle w:val="Hyperlink"/>
            <w:b/>
            <w:bCs/>
            <w:color w:themeColor="text1" w:val="000000"/>
            <w:u w:val="none"/>
          </w:rPr>
          <w:t>2.1 Актуальность разработк</w:t>
        </w:r>
      </w:hyperlink>
      <w:r>
        <w:rPr>
          <w:rStyle w:val="Hyperlink"/>
          <w:b/>
          <w:bCs/>
          <w:color w:themeColor="text1" w:val="000000"/>
          <w:u w:val="none"/>
        </w:rPr>
        <w:t>и</w:t>
        <w:tab/>
      </w:r>
      <w:r>
        <w:rPr>
          <w:rStyle w:val="Hyperlink"/>
          <w:b/>
          <w:bCs/>
          <w:color w:themeColor="text1" w:val="000000"/>
          <w:u w:val="none"/>
        </w:rPr>
        <w:t>6</w:t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hyperlink w:anchor="_Toc232770465">
        <w:r>
          <w:rPr>
            <w:rStyle w:val="Hyperlink"/>
            <w:b/>
            <w:bCs/>
            <w:color w:themeColor="text1" w:val="000000"/>
            <w:u w:val="none"/>
          </w:rPr>
          <w:t>2.2 Обзор существующих решени</w:t>
        </w:r>
      </w:hyperlink>
      <w:r>
        <w:rPr>
          <w:rStyle w:val="Hyperlink"/>
          <w:b/>
          <w:bCs/>
          <w:color w:themeColor="text1" w:val="000000"/>
          <w:u w:val="none"/>
        </w:rPr>
        <w:t>й</w:t>
        <w:tab/>
      </w:r>
      <w:r>
        <w:rPr>
          <w:rStyle w:val="Hyperlink"/>
          <w:b/>
          <w:bCs/>
          <w:color w:themeColor="text1" w:val="000000"/>
          <w:u w:val="none"/>
        </w:rPr>
        <w:t>7</w:t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hyperlink w:anchor="_Toc232770467">
        <w:r>
          <w:rPr>
            <w:rStyle w:val="Hyperlink"/>
            <w:b/>
            <w:bCs/>
            <w:color w:themeColor="text1" w:val="000000"/>
            <w:u w:val="none"/>
          </w:rPr>
          <w:t>ПРОЕКТИРОВАНИЕ СИСТЕМ</w:t>
        </w:r>
      </w:hyperlink>
      <w:r>
        <w:rPr>
          <w:rStyle w:val="Hyperlink"/>
          <w:b/>
          <w:bCs/>
          <w:color w:themeColor="text1" w:val="000000"/>
          <w:u w:val="none"/>
        </w:rPr>
        <w:t>Ы</w:t>
        <w:tab/>
      </w:r>
      <w:r>
        <w:rPr>
          <w:rStyle w:val="Hyperlink"/>
          <w:b/>
          <w:bCs/>
          <w:color w:themeColor="text1" w:val="000000"/>
          <w:u w:val="none"/>
        </w:rPr>
        <w:t>8</w:t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hyperlink w:anchor="_Toc232770468">
        <w:r>
          <w:rPr>
            <w:rStyle w:val="Hyperlink"/>
            <w:b/>
            <w:bCs/>
            <w:color w:themeColor="text1" w:val="000000"/>
            <w:u w:val="none"/>
          </w:rPr>
          <w:t>3.1 Общая архитектур</w:t>
        </w:r>
      </w:hyperlink>
      <w:r>
        <w:rPr>
          <w:rStyle w:val="Hyperlink"/>
          <w:b/>
          <w:bCs/>
          <w:color w:themeColor="text1" w:val="000000"/>
          <w:u w:val="none"/>
        </w:rPr>
        <w:t>а</w:t>
        <w:tab/>
      </w:r>
      <w:r>
        <w:rPr>
          <w:rStyle w:val="Hyperlink"/>
          <w:b/>
          <w:bCs/>
          <w:color w:themeColor="text1" w:val="000000"/>
          <w:u w:val="none"/>
        </w:rPr>
        <w:t>8</w:t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hyperlink w:anchor="_Toc232770469">
        <w:r>
          <w:rPr>
            <w:rStyle w:val="Hyperlink"/>
            <w:b/>
            <w:bCs/>
            <w:color w:themeColor="text1" w:val="000000"/>
            <w:u w:val="none"/>
          </w:rPr>
          <w:t>3.2 Стек технологи</w:t>
        </w:r>
      </w:hyperlink>
      <w:r>
        <w:rPr>
          <w:rStyle w:val="Hyperlink"/>
          <w:b/>
          <w:bCs/>
          <w:color w:themeColor="text1" w:val="000000"/>
          <w:u w:val="none"/>
        </w:rPr>
        <w:t>й</w:t>
        <w:tab/>
      </w:r>
      <w:r>
        <w:rPr>
          <w:rStyle w:val="Hyperlink"/>
          <w:b/>
          <w:bCs/>
          <w:color w:themeColor="text1" w:val="000000"/>
          <w:u w:val="none"/>
        </w:rPr>
        <w:t>9</w:t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hyperlink w:anchor="_Toc232770470">
        <w:r>
          <w:rPr>
            <w:rStyle w:val="Hyperlink"/>
            <w:b/>
            <w:bCs/>
            <w:color w:themeColor="text1" w:val="000000"/>
            <w:u w:val="none"/>
          </w:rPr>
          <w:t>3.3 Модель данны</w:t>
        </w:r>
      </w:hyperlink>
      <w:r>
        <w:rPr>
          <w:rStyle w:val="Hyperlink"/>
          <w:b/>
          <w:bCs/>
          <w:color w:themeColor="text1" w:val="000000"/>
          <w:u w:val="none"/>
        </w:rPr>
        <w:t>х</w:t>
        <w:tab/>
      </w:r>
      <w:r>
        <w:rPr>
          <w:rStyle w:val="Hyperlink"/>
          <w:b/>
          <w:bCs/>
          <w:color w:themeColor="text1" w:val="000000"/>
          <w:u w:val="none"/>
        </w:rPr>
        <w:t>10</w:t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hyperlink w:anchor="_Toc232770471">
        <w:r>
          <w:rPr>
            <w:rStyle w:val="Hyperlink"/>
            <w:b/>
            <w:bCs/>
            <w:color w:themeColor="text1" w:val="000000"/>
            <w:u w:val="none"/>
          </w:rPr>
          <w:t>3.4 Роли и разграничение доступ</w:t>
        </w:r>
      </w:hyperlink>
      <w:r>
        <w:rPr>
          <w:rStyle w:val="Hyperlink"/>
          <w:b/>
          <w:bCs/>
          <w:color w:themeColor="text1" w:val="000000"/>
          <w:u w:val="none"/>
        </w:rPr>
        <w:t>а</w:t>
        <w:tab/>
      </w:r>
      <w:r>
        <w:rPr>
          <w:rStyle w:val="Hyperlink"/>
          <w:b/>
          <w:bCs/>
          <w:color w:themeColor="text1" w:val="000000"/>
          <w:u w:val="none"/>
        </w:rPr>
        <w:t>11</w:t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hyperlink w:anchor="_Toc232770472">
        <w:r>
          <w:rPr>
            <w:rStyle w:val="Hyperlink"/>
            <w:b/>
            <w:bCs/>
            <w:color w:themeColor="text1" w:val="000000"/>
            <w:u w:val="none"/>
          </w:rPr>
          <w:t>3.5 Основные сценарии использовани</w:t>
        </w:r>
      </w:hyperlink>
      <w:r>
        <w:rPr>
          <w:rStyle w:val="Hyperlink"/>
          <w:b/>
          <w:bCs/>
          <w:color w:themeColor="text1" w:val="000000"/>
          <w:u w:val="none"/>
        </w:rPr>
        <w:t>я</w:t>
        <w:tab/>
      </w:r>
      <w:r>
        <w:rPr>
          <w:rStyle w:val="Hyperlink"/>
          <w:b/>
          <w:bCs/>
          <w:color w:themeColor="text1" w:val="000000"/>
          <w:u w:val="none"/>
        </w:rPr>
        <w:t>12</w:t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hyperlink w:anchor="_Toc232770473">
        <w:r>
          <w:rPr>
            <w:rStyle w:val="Hyperlink"/>
            <w:b/>
            <w:bCs/>
            <w:color w:themeColor="text1" w:val="000000"/>
            <w:u w:val="none"/>
          </w:rPr>
          <w:t>РЕАЛИЗАЦИЯ СИСТЕМ</w:t>
        </w:r>
      </w:hyperlink>
      <w:r>
        <w:rPr>
          <w:rStyle w:val="Hyperlink"/>
          <w:b/>
          <w:bCs/>
          <w:color w:themeColor="text1" w:val="000000"/>
          <w:u w:val="none"/>
        </w:rPr>
        <w:t>Ы</w:t>
        <w:tab/>
      </w:r>
      <w:r>
        <w:rPr>
          <w:rStyle w:val="Hyperlink"/>
          <w:b/>
          <w:bCs/>
          <w:color w:themeColor="text1" w:val="000000"/>
          <w:u w:val="none"/>
        </w:rPr>
        <w:t>13</w:t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hyperlink w:anchor="_Toc232770474">
        <w:r>
          <w:rPr>
            <w:rStyle w:val="Hyperlink"/>
            <w:b/>
            <w:bCs/>
            <w:color w:themeColor="text1" w:val="000000"/>
            <w:u w:val="none"/>
          </w:rPr>
          <w:t>4.1 Серверная част</w:t>
        </w:r>
      </w:hyperlink>
      <w:r>
        <w:rPr>
          <w:rStyle w:val="Hyperlink"/>
          <w:b/>
          <w:bCs/>
          <w:color w:themeColor="text1" w:val="000000"/>
          <w:u w:val="none"/>
        </w:rPr>
        <w:t>ь</w:t>
        <w:tab/>
      </w:r>
      <w:r>
        <w:rPr>
          <w:rStyle w:val="Hyperlink"/>
          <w:b/>
          <w:bCs/>
          <w:color w:themeColor="text1" w:val="000000"/>
          <w:u w:val="none"/>
        </w:rPr>
        <w:t>13</w:t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hyperlink w:anchor="_Toc232770475">
        <w:r>
          <w:rPr>
            <w:rStyle w:val="Hyperlink"/>
            <w:b/>
            <w:bCs/>
            <w:color w:themeColor="text1" w:val="000000"/>
            <w:u w:val="none"/>
          </w:rPr>
          <w:t>4.2 REST AP</w:t>
        </w:r>
      </w:hyperlink>
      <w:r>
        <w:rPr>
          <w:rStyle w:val="Hyperlink"/>
          <w:b/>
          <w:bCs/>
          <w:color w:themeColor="text1" w:val="000000"/>
          <w:u w:val="none"/>
        </w:rPr>
        <w:t>I</w:t>
        <w:tab/>
      </w:r>
      <w:r>
        <w:rPr>
          <w:rStyle w:val="Hyperlink"/>
          <w:b/>
          <w:bCs/>
          <w:color w:themeColor="text1" w:val="000000"/>
          <w:u w:val="none"/>
        </w:rPr>
        <w:t>14</w:t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hyperlink w:anchor="_Toc232770477">
        <w:r>
          <w:rPr>
            <w:rStyle w:val="Hyperlink"/>
            <w:b/>
            <w:bCs/>
            <w:color w:themeColor="text1" w:val="000000"/>
            <w:u w:val="none"/>
          </w:rPr>
          <w:t>4.4 База данных и миграци</w:t>
        </w:r>
      </w:hyperlink>
      <w:r>
        <w:rPr>
          <w:rStyle w:val="Hyperlink"/>
          <w:b/>
          <w:bCs/>
          <w:color w:themeColor="text1" w:val="000000"/>
          <w:u w:val="none"/>
        </w:rPr>
        <w:t>и</w:t>
        <w:tab/>
      </w:r>
    </w:p>
    <w:p>
      <w:pPr>
        <w:pStyle w:val="Normal"/>
        <w:tabs>
          <w:tab w:val="clear" w:pos="709"/>
          <w:tab w:val="right" w:pos="9072" w:leader="dot"/>
        </w:tabs>
        <w:rPr/>
      </w:pPr>
      <w:r>
        <w:rPr>
          <w:rStyle w:val="Hyperlink"/>
          <w:b/>
          <w:bCs/>
          <w:color w:themeColor="text1" w:val="000000"/>
          <w:u w:val="none"/>
        </w:rPr>
        <w:t>4.5 Хранение файлов в PD</w:t>
      </w:r>
      <w:r>
        <w:rPr>
          <w:rStyle w:val="Hyperlink"/>
          <w:b/>
          <w:bCs/>
          <w:color w:themeColor="text1" w:val="000000"/>
          <w:u w:val="none"/>
        </w:rPr>
        <w:t>F</w:t>
        <w:tab/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hyperlink w:anchor="_Toc232770479">
        <w:r>
          <w:rPr>
            <w:rStyle w:val="Hyperlink"/>
            <w:b/>
            <w:bCs/>
            <w:color w:themeColor="text1" w:val="000000"/>
            <w:u w:val="none"/>
          </w:rPr>
          <w:t>4.6 Преобразование данных и DT</w:t>
        </w:r>
      </w:hyperlink>
      <w:r>
        <w:rPr>
          <w:rStyle w:val="Hyperlink"/>
          <w:b/>
          <w:bCs/>
          <w:color w:themeColor="text1" w:val="000000"/>
          <w:u w:val="none"/>
        </w:rPr>
        <w:t>O</w:t>
        <w:tab/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hyperlink w:anchor="_Toc232770480">
        <w:r>
          <w:rPr>
            <w:rStyle w:val="Hyperlink"/>
            <w:b/>
            <w:bCs/>
            <w:color w:themeColor="text1" w:val="000000"/>
            <w:u w:val="none"/>
          </w:rPr>
          <w:t>4.7 Конфигурация и развёртывание окружени</w:t>
        </w:r>
      </w:hyperlink>
      <w:r>
        <w:rPr>
          <w:rStyle w:val="Hyperlink"/>
          <w:b/>
          <w:bCs/>
          <w:color w:themeColor="text1" w:val="000000"/>
          <w:u w:val="none"/>
        </w:rPr>
        <w:t>я</w:t>
        <w:tab/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hyperlink w:anchor="_Toc232770481">
        <w:bookmarkStart w:id="0" w:name="__DdeLink__7504_4121217716"/>
        <w:bookmarkEnd w:id="0"/>
        <w:r>
          <w:rPr>
            <w:rStyle w:val="Hyperlink"/>
            <w:b/>
            <w:bCs/>
            <w:color w:themeColor="text1" w:val="000000"/>
            <w:u w:val="none"/>
          </w:rPr>
          <w:t>ВЫПОЛНЕННЫЕ ДОРАБОТК</w:t>
        </w:r>
      </w:hyperlink>
      <w:r>
        <w:rPr>
          <w:rStyle w:val="Hyperlink"/>
          <w:b/>
          <w:bCs/>
          <w:color w:themeColor="text1" w:val="000000"/>
          <w:u w:val="none"/>
        </w:rPr>
        <w:t>И</w:t>
        <w:tab/>
      </w:r>
    </w:p>
    <w:p>
      <w:pPr>
        <w:pStyle w:val="Normal"/>
        <w:tabs>
          <w:tab w:val="clear" w:pos="709"/>
          <w:tab w:val="right" w:pos="9072" w:leader="dot"/>
        </w:tabs>
        <w:rPr/>
      </w:pPr>
      <w:r>
        <w:rPr>
          <w:rStyle w:val="Hyperlink"/>
          <w:b/>
          <w:bCs/>
          <w:color w:val="000000"/>
          <w:u w:val="none"/>
        </w:rPr>
        <w:t>5.1 Реализация системы таможенных деклараций для компани</w:t>
      </w:r>
      <w:r>
        <w:rPr>
          <w:rStyle w:val="Hyperlink"/>
          <w:b/>
          <w:bCs/>
          <w:color w:val="000000"/>
          <w:u w:val="none"/>
        </w:rPr>
        <w:t>й</w:t>
        <w:tab/>
      </w:r>
    </w:p>
    <w:p>
      <w:pPr>
        <w:pStyle w:val="Normal"/>
        <w:tabs>
          <w:tab w:val="clear" w:pos="709"/>
          <w:tab w:val="right" w:pos="9072" w:leader="dot"/>
        </w:tabs>
        <w:rPr/>
      </w:pPr>
      <w:r>
        <w:rPr>
          <w:rStyle w:val="Hyperlink"/>
          <w:b/>
          <w:bCs/>
          <w:color w:val="000000"/>
          <w:u w:val="none"/>
        </w:rPr>
        <w:t>5.2 Реализация системы деклараций для физических ли</w:t>
      </w:r>
      <w:r>
        <w:rPr>
          <w:rStyle w:val="Hyperlink"/>
          <w:b/>
          <w:bCs/>
          <w:color w:val="000000"/>
          <w:u w:val="none"/>
        </w:rPr>
        <w:t>ц</w:t>
        <w:tab/>
      </w:r>
    </w:p>
    <w:p>
      <w:pPr>
        <w:pStyle w:val="Normal"/>
        <w:tabs>
          <w:tab w:val="clear" w:pos="709"/>
          <w:tab w:val="right" w:pos="9072" w:leader="dot"/>
        </w:tabs>
        <w:rPr/>
      </w:pPr>
      <w:r>
        <w:rPr>
          <w:rStyle w:val="Hyperlink"/>
          <w:b/>
          <w:bCs/>
          <w:color w:val="000000"/>
          <w:u w:val="none"/>
        </w:rPr>
        <w:t>5.3 Реализация деклараций на автомобили с автоматическим расчетом платежей</w:t>
        <w:tab/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r>
        <w:rPr>
          <w:rStyle w:val="Hyperlink"/>
          <w:b/>
          <w:bCs/>
          <w:color w:themeColor="text1" w:val="000000"/>
          <w:u w:val="none"/>
        </w:rPr>
        <w:t>5.4 Верификация компаний и документов инспекторо</w:t>
      </w:r>
      <w:r>
        <w:rPr>
          <w:rStyle w:val="Hyperlink"/>
          <w:b/>
          <w:bCs/>
          <w:color w:themeColor="text1" w:val="000000"/>
          <w:u w:val="none"/>
        </w:rPr>
        <w:t>м</w:t>
        <w:tab/>
      </w:r>
    </w:p>
    <w:p>
      <w:pPr>
        <w:pStyle w:val="Normal"/>
        <w:tabs>
          <w:tab w:val="clear" w:pos="709"/>
          <w:tab w:val="right" w:pos="9072" w:leader="dot"/>
        </w:tabs>
        <w:rPr>
          <w:b/>
        </w:rPr>
      </w:pPr>
      <w:r>
        <w:rPr>
          <w:b/>
        </w:rPr>
        <w:t>5.5 Управление сотрудниками компании и ролевая модель</w:t>
        <w:tab/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r>
        <w:rPr>
          <w:rStyle w:val="Hyperlink"/>
          <w:b/>
          <w:bCs/>
          <w:color w:themeColor="text1" w:val="000000"/>
          <w:u w:val="none"/>
        </w:rPr>
        <w:t>5.6 Автоматическое формирование платёжного счёта при подаче декларации</w:t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r>
        <w:rPr>
          <w:rStyle w:val="Hyperlink"/>
          <w:b/>
          <w:bCs/>
          <w:color w:themeColor="text1" w:val="000000"/>
          <w:u w:val="none"/>
        </w:rPr>
        <w:tab/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r>
        <w:rPr>
          <w:rStyle w:val="Hyperlink"/>
          <w:b/>
          <w:bCs/>
          <w:color w:themeColor="text1" w:val="000000"/>
          <w:u w:val="none"/>
        </w:rPr>
        <w:t>5.7 Справочник кодов ТН ВЭД со ставками пошлин, НДС и акциза</w:t>
        <w:tab/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r>
        <w:rPr>
          <w:rStyle w:val="Hyperlink"/>
          <w:b/>
          <w:bCs/>
          <w:color w:themeColor="text1" w:val="000000"/>
          <w:u w:val="none"/>
        </w:rPr>
        <w:t>5.8 Интеграция AI-ассистента Sweez AI на базе Mistral с памятью чата</w:t>
        <w:tab/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r>
        <w:rPr>
          <w:rStyle w:val="Hyperlink"/>
          <w:b/>
          <w:bCs/>
          <w:color w:themeColor="text1" w:val="000000"/>
          <w:u w:val="none"/>
        </w:rPr>
        <w:t>5.9 Хранение файлов и документов в MinIO</w:t>
        <w:tab/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bookmarkStart w:id="1" w:name="__DdeLink__8865_4121217716"/>
      <w:r>
        <w:rPr>
          <w:rStyle w:val="Hyperlink"/>
          <w:b/>
          <w:bCs/>
          <w:color w:themeColor="text1" w:val="000000"/>
          <w:u w:val="none"/>
        </w:rPr>
        <w:t>5.10 JWT аутентификация с поддержкой refresh-токенов и восстановления</w:t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bookmarkStart w:id="2" w:name="__DdeLink__8865_4121217716"/>
      <w:r>
        <w:rPr>
          <w:rStyle w:val="Hyperlink"/>
          <w:b/>
          <w:bCs/>
          <w:color w:themeColor="text1" w:val="000000"/>
          <w:u w:val="none"/>
        </w:rPr>
        <w:t>пароля</w:t>
      </w:r>
      <w:bookmarkEnd w:id="2"/>
      <w:r>
        <w:rPr>
          <w:rStyle w:val="Hyperlink"/>
          <w:b/>
          <w:bCs/>
          <w:color w:themeColor="text1" w:val="000000"/>
          <w:u w:val="none"/>
        </w:rPr>
        <w:tab/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r>
        <w:rPr>
          <w:rStyle w:val="Hyperlink"/>
          <w:b/>
          <w:bCs/>
          <w:color w:themeColor="text1" w:val="000000"/>
          <w:u w:val="none"/>
        </w:rPr>
        <w:t>5.11 Сводка изменённых артефактов</w:t>
        <w:tab/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hyperlink w:anchor="_Toc232770499">
        <w:r>
          <w:rPr>
            <w:rStyle w:val="Hyperlink"/>
            <w:b/>
            <w:bCs/>
            <w:color w:themeColor="text1" w:val="000000"/>
            <w:u w:val="none"/>
          </w:rPr>
          <w:t>ЗАКЛЮЧЕНИ</w:t>
        </w:r>
      </w:hyperlink>
      <w:r>
        <w:rPr>
          <w:rStyle w:val="Hyperlink"/>
          <w:b/>
          <w:bCs/>
          <w:color w:themeColor="text1" w:val="000000"/>
          <w:u w:val="none"/>
        </w:rPr>
        <w:t>Е</w:t>
        <w:tab/>
      </w:r>
    </w:p>
    <w:p>
      <w:pPr>
        <w:pStyle w:val="Normal"/>
        <w:tabs>
          <w:tab w:val="clear" w:pos="709"/>
          <w:tab w:val="right" w:pos="9072" w:leader="dot"/>
        </w:tabs>
        <w:rPr>
          <w:b/>
          <w:bCs/>
        </w:rPr>
      </w:pPr>
      <w:hyperlink w:anchor="_Toc232770500">
        <w:r>
          <w:rPr>
            <w:rStyle w:val="Hyperlink"/>
            <w:b/>
            <w:bCs/>
            <w:color w:themeColor="text1" w:val="000000"/>
            <w:u w:val="none"/>
          </w:rPr>
          <w:t>СПИСОК ИСПОЛЬЗОВАННЫХ ИСТОЧНИКО</w:t>
        </w:r>
      </w:hyperlink>
      <w:r>
        <w:rPr>
          <w:rStyle w:val="Hyperlink"/>
          <w:b/>
          <w:bCs/>
          <w:color w:themeColor="text1" w:val="000000"/>
          <w:u w:val="none"/>
        </w:rPr>
        <w:t>В</w:t>
        <w:tab/>
      </w:r>
      <w:r>
        <w:br w:type="page"/>
      </w:r>
    </w:p>
    <w:p>
      <w:pPr>
        <w:pStyle w:val="HeadingCentered1"/>
        <w:spacing w:before="0" w:after="0"/>
        <w:rPr>
          <w:sz w:val="28"/>
          <w:szCs w:val="28"/>
        </w:rPr>
      </w:pPr>
      <w:r>
        <w:rPr>
          <w:sz w:val="28"/>
          <w:szCs w:val="28"/>
        </w:rPr>
        <w:t>ВВЕДЕНИЕ</w:t>
      </w:r>
    </w:p>
    <w:p>
      <w:pPr>
        <w:pStyle w:val="Normal"/>
        <w:rPr/>
      </w:pPr>
      <w:bookmarkStart w:id="3" w:name="__DdeLink__8789_4121217716"/>
      <w:r>
        <w:rPr/>
        <w:t>Современная таможенная система немыслима без цифровизации процессов оформления и обмена данными о внешнеэкономической деятельности. Разрозненность бумажных и устаревших информационных систем таможенных органов приводит к тому, что сведения о декларациях, документах и платежах оказываются «размазаны» по множеству не связанных между собой регистров, ведомств и участников торговли. В результате инспектор при проверке зачастую не располагает полной картиной: историей деклараций компании, статусом верификации документов, сведениями об уплаченных таможенных платежах. Это снижает скорость и качество таможенного оформления, повышает риск ошибок и приводит к дублированию проверок.</w:t>
      </w:r>
      <w:bookmarkEnd w:id="3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Проект «SweezCustoms» представляет собой единую централизованную цифровую платформу таможенного оформления, объединяющую физических лиц, юридических лиц и таможенных инспекторов в одном защищённом информационном пространстве. Идея системы заключается в том, чтобы участник внешнеэкономической деятельности являлся владельцем своих деклараций и документов, а таможенные инспекторы получали доступ к ним строго в рамках своих полномочий.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системе участник может хранить все поданные декларации — на товары компании, личные посылки и автомобили — с подробным описанием товаров, рассчитанных таможенных платежей, прикреплённых документов и истории статусов. Таможенные платежи (НДС, пошлина, акциз) рассчитываются автоматически по стандарту ЕАЭС на основании кода ТН ВЭД. Компании проходят процедуру верификации с загрузкой учредительных и разрешительных документов, после чего получают право подавать декларации.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Настоящая пояснительная записка описывает архитектуру, модель данных, реализацию и результаты разработки информационной системы. Особое внимание уделено блоку работы с юридическими лицами, управлению персоналом компаний, системе верификации документов, автоматическому расчёту таможенных платежей и интеграции AI-ассистента.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Целью работы является разработка информационной системы автоматизации таможенного оформления, обеспечивающей цифровой документооборот, автоматический расчёт платежей и ролевое разграничение доступа для всех участников процесса. Достижение поставленной цели обеспечивает повышение удобства использования системы, снижение временных затрат на оформление и улучшение прозрачности таможенных процедур.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Объектом исследования выступают процессы подачи и обработки таможенных деклараций между участниками внешнеэкономической деятельности и таможенными органами. Предметом исследования являются программные средства и архитектурные решения, обеспечивающие централизованное хранение деклараций, ролевой доступ к данным и автоматизацию расчёта таможенных платежей.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Практическая значимость работы заключается в том, что разработанная система может быть использована как основа для развёртывания регионального сервиса цифрового таможенного оформления, объединяющего физических лиц, компании и государственные таможенные органы Кыргызской Республики. Реализованный механизм ролевого доступа и верификации документов обеспечивает соответствие требованиям к защите данных участников внешнеэкономической деятельности.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Функциональные требования к системе включают: регистрацию и аутентификацию пользователей; подачу и обработку таможенных деклараций трёх типов; управление компаниями и их персоналом; верификацию документов инспектором; автоматический расчёт НДС, пошлины и акциза; формирование платёжных счетов; ведение справочника кодов ТН ВЭД; хранение файлов и документов; интеграцию AI-ассистента. Нефункциональные требования включают безопасность (шифрование паролей, JWT аутентификация, ролевой доступ), производительность (stateless-архитектура, пригодная к масштабированию) и сопровождаемость (слоистая архитектура, версионирование схемы базы данных).</w:t>
      </w:r>
      <w:r>
        <w:br w:type="page"/>
      </w:r>
    </w:p>
    <w:p>
      <w:pPr>
        <w:pStyle w:val="Normal"/>
        <w:spacing w:before="0" w:after="0"/>
        <w:ind w:hanging="0"/>
        <w:jc w:val="center"/>
        <w:rPr>
          <w:b/>
          <w:bCs/>
        </w:rPr>
      </w:pPr>
      <w:bookmarkStart w:id="4" w:name="_Toc232766500"/>
      <w:bookmarkStart w:id="5" w:name="__DdeLink__8796_4121217716"/>
      <w:bookmarkEnd w:id="5"/>
      <w:r>
        <w:rPr>
          <w:b/>
          <w:bCs/>
        </w:rPr>
        <w:t>АНАЛИЗ ПРЕДМЕТНОЙ ОБЛАСТИ</w:t>
      </w:r>
      <w:bookmarkStart w:id="6" w:name="_Toc232766501"/>
      <w:bookmarkEnd w:id="4"/>
    </w:p>
    <w:p>
      <w:pPr>
        <w:pStyle w:val="Normal"/>
        <w:rPr>
          <w:b/>
          <w:bCs/>
        </w:rPr>
      </w:pPr>
      <w:r>
        <w:rPr>
          <w:b/>
          <w:bCs/>
        </w:rPr>
        <w:t>2.1 Актуальность разработки</w:t>
      </w:r>
      <w:bookmarkEnd w:id="6"/>
    </w:p>
    <w:p>
      <w:pPr>
        <w:pStyle w:val="Normal"/>
        <w:rPr/>
      </w:pPr>
      <w:r>
        <w:rPr/>
        <w:t>Актуальность создания централизованной системы таможенного оформления обусловлена несколькими факторами. Во-первых, рост объёмов внешнеэкономической деятельности и увеличение числа участников торговли приводят к перегруженности традиционных бумажных процессов и фрагментации данных о декларациях. Во-вторых, законодательные требования ЕАЭС к таможенному оформлению диктуют необходимость строгого разграничения доступа, прозрачности процедур и автоматизации расчётов платежей. В-третьих, компании и физические лица нуждаются в едином цифровом пространстве для подачи деклараций, отслеживания их статусов и получения платёжных счетов без необходимости личного визита в таможенные органы.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Централизованная система решает эти задачи: она хранит все декларации, документы и платёжные данные в единой базе, предоставляет ролевой доступ участникам процесса и автоматически рассчитывает таможенные платежи по стандарту ЕАЭС, что исключает человеческий фактор при исчислении пошлин, НДС и акциза.</w:t>
      </w:r>
      <w:bookmarkStart w:id="7" w:name="_Toc227789139"/>
    </w:p>
    <w:p>
      <w:pPr>
        <w:pStyle w:val="Normal"/>
        <w:rPr>
          <w:b/>
          <w:bCs/>
        </w:rPr>
      </w:pPr>
      <w:bookmarkStart w:id="8" w:name="_Toc232766502"/>
      <w:bookmarkEnd w:id="7"/>
      <w:r>
        <w:rPr>
          <w:b/>
          <w:bCs/>
        </w:rPr>
        <w:t>2.2 Обзор существующих решений</w:t>
      </w:r>
      <w:bookmarkEnd w:id="8"/>
    </w:p>
    <w:p>
      <w:pPr>
        <w:pStyle w:val="Normal"/>
        <w:rPr/>
      </w:pPr>
      <w:bookmarkStart w:id="9" w:name="__DdeLink__8796_4121217716_Copy_1"/>
      <w:bookmarkEnd w:id="9"/>
      <w:r>
        <w:rPr/>
        <w:t>На рынке представлены государственные порталы таможенного декларирования, интегрированные с конкретными таможенными органами, а также коммерческие брокерские системы. Их общими недостатками являются закрытость экосистемы, отсутствие единого пространства для всех типов деклараций, слабая поддержка сценариев взаимодействия между компаниями и таможенными инспекторами, а также ручной расчёт таможенных платежей. Разрабатываемая система устраняет эти ограничения за счёт единой платформы, охватывающей три типа деклараций, автоматического расчёта платежей и ролевой модели доступа.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Сравнительный анализ разрабатываемой системы SweezCustoms с типовыми системами таможенного декларирования демонстрирует ряд ключевых архитектурных и функциональных преимуществ нового подхода. В традиционных системах подача деклараций на товары компании, личные посылки физических лиц и автомобили требует обращения к разным органам и системам. Разрабатываемая платформа, напротив, предлагает концепцию единого цифрового окна, где все три типа деклараций обрабатываются в одном пространстве, а владелец данных — сам участник внешнеэкономической деятельности.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Существенным инновационным отличием выступает автоматический расчёт таможенных платежей на основе справочника кодов ТН ВЭД, который, как правило, отсутствует в стандартных системах. Новая система позволяет автоматически исчислять НДС, таможенную пошлину и акциз в момент подачи декларации, формировать платёжный счёт и отслеживать его оплату. Кроме того, кардинально пересмотрен подход к верификации участников: в отличие от типовых решений с ручной проверкой документов, SweezCustoms обеспечивает цифровой документооборот с загрузкой, хранением и верификацией документов компаний и физических лиц непосредственно на платформе, а инспектор получает удобный инструмент для одобрения или отклонения с указанием причины.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Как видно из сравнения, ключевым преимуществом разрабатываемой системы является ориентированность на участника внешнеэкономической деятельности как на владельца своих деклараций и поддержка полного цикла таможенного оформления — от создания черновика декларации до оплаты таможенных платежей — в рамках единой цифровой платформы, что особенно актуально для компаний, регулярно осуществляющих импортно-экспортные операции.</w:t>
      </w:r>
      <w:r>
        <w:br w:type="page"/>
      </w:r>
    </w:p>
    <w:p>
      <w:pPr>
        <w:pStyle w:val="Normal"/>
        <w:spacing w:before="0" w:after="0"/>
        <w:ind w:hanging="0"/>
        <w:jc w:val="center"/>
        <w:rPr/>
      </w:pPr>
      <w:bookmarkStart w:id="10" w:name="__DdeLink__8799_4121217716"/>
      <w:bookmarkStart w:id="11" w:name="_Toc232766504"/>
      <w:r>
        <w:rPr>
          <w:b/>
          <w:bCs/>
        </w:rPr>
        <w:t>ПРОЕКТИРОВАНИЕ СИСТЕМЫ</w:t>
      </w:r>
      <w:bookmarkEnd w:id="10"/>
      <w:bookmarkEnd w:id="11"/>
    </w:p>
    <w:p>
      <w:pPr>
        <w:pStyle w:val="Normal"/>
        <w:rPr>
          <w:b/>
          <w:bCs/>
        </w:rPr>
      </w:pPr>
      <w:bookmarkStart w:id="12" w:name="_Toc232766505"/>
      <w:bookmarkStart w:id="13" w:name="__DdeLink__8802_4121217716"/>
      <w:r>
        <w:rPr>
          <w:b/>
          <w:bCs/>
        </w:rPr>
        <w:t>3.1 Общая архитектура</w:t>
      </w:r>
      <w:bookmarkEnd w:id="12"/>
      <w:bookmarkEnd w:id="13"/>
    </w:p>
    <w:p>
      <w:pPr>
        <w:pStyle w:val="Normal"/>
        <w:rPr/>
      </w:pPr>
      <w:bookmarkStart w:id="14" w:name="__DdeLink__8804_4121217716"/>
      <w:r>
        <w:rPr/>
        <w:t>Система построена по классической трёхзвенной клиент-серверной архитектуре и состоит из трёх логических уровней: уровня представления (клиентское веб-приложение), уровня бизнес-логики (серверное приложение на Spring Boot) и уровня хранения данных (реляционная СУБД PostgreSQL и объектное хранилище MinIO для файлов). Взаимодействие клиента и сервера осуществляется по протоколу HTTP в виде REST API с обменом данными в формате JSON. Аутентификация выполняется по технологии JSON Web Token (JWT).</w:t>
      </w:r>
      <w:bookmarkEnd w:id="14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Серверная часть организована по многослойному принципу: контроллеры (REST-слой) принимают HTTP-запросы, делегируют обработку сервисам (слой бизнес-логики), которые, в свою очередь, обращаются к репозиториям (слой доступа к данным на базе Spring Data JPA). Преобразование сущностей в объекты передачи данных (DTO) выполняется мапперами на базе библиотеки MapStruct, что обеспечивает разделение внутренней модели и внешнего контракта API.</w:t>
      </w:r>
    </w:p>
    <w:p>
      <w:pPr>
        <w:pStyle w:val="Normal"/>
        <w:rPr>
          <w:b/>
          <w:bCs/>
        </w:rPr>
      </w:pPr>
      <w:bookmarkStart w:id="15" w:name="_Toc232766506"/>
      <w:bookmarkStart w:id="16" w:name="__DdeLink__8807_4121217716"/>
      <w:r>
        <w:rPr>
          <w:b/>
          <w:bCs/>
        </w:rPr>
        <w:t>3.2 Стек технологий</w:t>
      </w:r>
      <w:bookmarkEnd w:id="15"/>
      <w:bookmarkEnd w:id="16"/>
    </w:p>
    <w:p>
      <w:pPr>
        <w:pStyle w:val="Normal"/>
        <w:rPr/>
      </w:pPr>
      <w:r>
        <w:rPr/>
        <w:t>Разработка современной системы таможенного оформления, такой как SweezCustoms, предъявляет строгие требования к отказоустойчивости, безопасности данных участников внешнеэкономической деятельности и скорости обработки запросов. Для удовлетворения этих требований была спроектирована надёжная архитектура, базирующаяся на передовых инструментах и фреймворках.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Серверная часть и бизнес-логика (Backend) 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Серверное ядро системы разработано на языке Java с использованием мощной экосистемы Spring Boot. Выбор данного фреймворка обусловлен его надёжностью в Enterprise-сегменте, встроенными механизмами автоконфигурации и богатым набором готовых интеграций.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Безопасность и ролевая модель доступа (ADMIN, INSPECTOR, OWNER, MANAGER, ACCOUNTANT, ANALYTIC, LOGISTICIAN, USER) реализованы на базе Spring Security.</w:t>
        <w:br/>
        <w:t>Процесс аутентификации построен на стандарте JWT (JSON Web Token). Использование stateless-авторизации снижает нагрузку на оперативную память сервера и позволяет легко масштабировать приложение горизонтально при увеличении числа пользователей.</w:t>
        <w:br/>
        <w:t xml:space="preserve">Интеграция искусственного интеллекта реализована посредством Spring AI с подключением языковой модели Mistral AI, обеспечивающей работу встроенного ассистента Sweez AI с сохранением истории диалога 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/>
          <w:bCs/>
        </w:rPr>
        <w:t>Хранение и управление данными</w:t>
      </w:r>
      <w:r>
        <w:rPr>
          <w:b w:val="false"/>
          <w:bCs w:val="false"/>
        </w:rPr>
        <w:t xml:space="preserve"> 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Таможенные данные характеризуются сложной структурой связей и требуют соблюдения принципов ACID. В качестве основной СУБД выбрана реляционная база данных PostgreSQL.</w:t>
        <w:br/>
        <w:t>Для взаимодействия объектно-ориентированного кода Java с таблицами базы данных применяется Spring Data JPA под управлением провайдера Hibernate. Это позволяет абстрагироваться от написания рутинных SQL-запросов и сосредоточиться на бизнес-логике.</w:t>
        <w:br/>
        <w:t xml:space="preserve">Контроль за изменениями структуры базы данных осуществляется с помощью инструмента Flyway, обеспечивающее строгое версионирование SQL-миграций. Хранение файлов документов (свидетельства регистрации, уставы, паспорта, контракты) вынесено в MinIO — высокопроизводительное S3-совместимое объектное хранилище. Это архитектурное решение предотвращает неконтролируемое разрастание базы данных и ускоряет процесс создания резервных копий. 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/>
          <w:bCs/>
        </w:rPr>
        <w:t xml:space="preserve">Оптимизация кода 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Дляснижения количества шаблонного кода (геттеров, сеттеров, конструкторов) активно используется библиоткеа Lombok, преобразование моделей базы данных в объекты передачи данных (DTO) автоматизировано с помощью MapStruct, который генерирует безопасный код мапперов на этапе компиляции.</w:t>
      </w:r>
    </w:p>
    <w:p>
      <w:pPr>
        <w:pStyle w:val="Normal"/>
        <w:ind w:hanging="0" w:start="0"/>
        <w:rPr>
          <w:b/>
          <w:bCs/>
        </w:rPr>
      </w:pPr>
      <w:r>
        <w:rPr>
          <w:b/>
          <w:bCs/>
        </w:rPr>
        <w:t xml:space="preserve">инфраструктура и развертывание 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Для унификации сред разработки и тестирования применяется контейнеризация Docker. Описание всей инфраструктуры зафиксировано в конфигурационном файле Docker Compose, что позволяет развернуть весь комплекс системы на любом сервере одной командой.</w:t>
      </w:r>
    </w:p>
    <w:p>
      <w:pPr>
        <w:pStyle w:val="Normal"/>
        <w:rPr>
          <w:b/>
          <w:bCs/>
        </w:rPr>
      </w:pPr>
      <w:bookmarkStart w:id="17" w:name="_Toc232766507"/>
      <w:bookmarkStart w:id="18" w:name="__DdeLink__8815_4121217716"/>
      <w:r>
        <w:rPr>
          <w:b/>
          <w:bCs/>
        </w:rPr>
        <w:t>3.3 Модель данных</w:t>
      </w:r>
      <w:bookmarkEnd w:id="17"/>
      <w:bookmarkEnd w:id="18"/>
    </w:p>
    <w:p>
      <w:pPr>
        <w:pStyle w:val="Normal"/>
        <w:rPr/>
      </w:pPr>
      <w:r>
        <w:rPr/>
        <w:t>Модель данных системы включает справочные, декларационные и корпоративные таблицы. Основной идентифицирующей сущностью является пользователь (таблица users), связанный с ролями по схеме «многие-ко-многим». Физическая модель данных спроектирована с учётом строгих требований нормализации и обеспечения ссылочной целостности.</w:t>
        <w:br/>
      </w:r>
      <w:r>
        <w:rPr>
          <w:b/>
          <w:bCs/>
        </w:rPr>
        <w:t>Управление пользователями и правами доступа</w:t>
      </w:r>
    </w:p>
    <w:p>
      <w:pPr>
        <w:pStyle w:val="Normal"/>
        <w:ind w:hanging="0" w:start="0"/>
        <w:rPr/>
      </w:pPr>
      <w:r>
        <w:rPr/>
        <w:t>Ядром подсистемы авторизации выступает таблица users, в которой хранятся учётные записи всех субъектов системы. Гибкая настройка прав доступа реализуется с помощью таблицы roles (справочник доступных ролей) и связующей таблицы m2m_users_roles, обеспечивающей отношение «многие-ко-многим» между пользователями и назначенными им привилегиями.</w:t>
        <w:br/>
      </w:r>
      <w:r>
        <w:rPr>
          <w:b/>
          <w:bCs/>
        </w:rPr>
        <w:t>Корпоративная структура</w:t>
      </w:r>
    </w:p>
    <w:p>
      <w:pPr>
        <w:pStyle w:val="Normal"/>
        <w:ind w:hanging="0" w:start="0"/>
        <w:rPr/>
      </w:pPr>
      <w:r>
        <w:rPr/>
        <w:t xml:space="preserve">Для работы с юридическими лицами предусмотрена таблица companies, хранящая ИНН, ОКПО, таможенный код, адрес и статус верификации компании. Непосредственная привязка сотрудников к компании фиксируется через внешний ключ company_id в таблице users. Структура компании дополняется таблицами branches_company (филиалы) и contracts (контракты с указанием валюты, суммы и сроков). </w:t>
      </w:r>
    </w:p>
    <w:p>
      <w:pPr>
        <w:pStyle w:val="Normal"/>
        <w:ind w:hanging="0" w:start="0"/>
        <w:rPr>
          <w:b/>
        </w:rPr>
      </w:pPr>
      <w:r>
        <w:rPr>
          <w:b/>
        </w:rPr>
        <w:t>Декларационные данные</w:t>
      </w:r>
    </w:p>
    <w:p>
      <w:pPr>
        <w:pStyle w:val="Normal"/>
        <w:ind w:hanging="0" w:start="0"/>
        <w:rPr/>
      </w:pPr>
      <w:r>
        <w:rPr>
          <w:b w:val="false"/>
          <w:bCs w:val="false"/>
        </w:rPr>
        <w:t>основной</w:t>
      </w:r>
      <w:r>
        <w:rPr/>
        <w:t xml:space="preserve"> массив таможенной информации сосредоточен вокруг базовой таблицы declarations, реализующей стратегию наследования JOINED. Она содержит общие поля всех типов деклараций: статус, валюту, курс, дату создания и подачи. Детализация обеспечивается тремя дочерними таблицами: company_declarations (декларации компаний с реквизитами инвойса и условиями Incoterms), user_declarations (декларации физических лиц с указанием способа доставки и номера отслеживания) и car_declarations (автомобильные декларации с VIN-кодом, техническими характеристиками и рассчитанными таможенными платежами). Товарный состав деклараций хранится в таблице declaration_products, содержащей наименование, код ТН ВЭД, количество, вес, стоимость и исчисленные платежи по каждой позиции.</w:t>
        <w:br/>
      </w:r>
      <w:r>
        <w:rPr>
          <w:b/>
        </w:rPr>
        <w:t xml:space="preserve">Справочник и платежи </w:t>
      </w:r>
    </w:p>
    <w:p>
      <w:pPr>
        <w:pStyle w:val="Normal"/>
        <w:ind w:hanging="0" w:start="0"/>
        <w:rPr/>
      </w:pPr>
      <w:r>
        <w:rPr>
          <w:b w:val="false"/>
          <w:bCs w:val="false"/>
        </w:rPr>
        <w:t>Справочник</w:t>
      </w:r>
      <w:r>
        <w:rPr/>
        <w:t xml:space="preserve"> кодов ТН ВЭД хранится в таблице tnved_codes со ставками пошлины, акциза и НДС по каждому коду. Платёжные счета фиксируются в таблице payment_invoices, автоматически формируемой при подаче декларации, с указанием итоговых сумм НДС, пошлины, акциза и сроком оплаты. </w:t>
      </w:r>
    </w:p>
    <w:p>
      <w:pPr>
        <w:pStyle w:val="Normal"/>
        <w:ind w:hanging="0" w:start="0"/>
        <w:rPr/>
      </w:pPr>
      <w:r>
        <w:rPr>
          <w:b/>
        </w:rPr>
        <w:t>Документооборот</w:t>
      </w:r>
      <w:r>
        <w:rPr/>
        <w:br/>
        <w:t>Верификация участников обеспечивается таблицами company_documents и individual_documents, хранящими типы загруженных документов, их статус верификации, инспектора и дату проверки. Физические файлы хранятся в MinIO, а ссылки на них — в таблице file_storage.</w:t>
      </w:r>
      <w:r>
        <w:br w:type="page"/>
      </w:r>
    </w:p>
    <w:p>
      <w:pPr>
        <w:pStyle w:val="Normal"/>
        <w:spacing w:before="0" w:after="0"/>
        <w:rPr>
          <w:b/>
          <w:bCs/>
        </w:rPr>
      </w:pPr>
      <w:bookmarkStart w:id="19" w:name="_Toc232766508"/>
      <w:bookmarkStart w:id="20" w:name="__DdeLink__8820_4121217716"/>
      <w:r>
        <w:rPr>
          <w:b/>
          <w:bCs/>
        </w:rPr>
        <w:t>3.4 Роли и разграничение доступа</w:t>
      </w:r>
      <w:bookmarkEnd w:id="19"/>
      <w:bookmarkEnd w:id="20"/>
    </w:p>
    <w:p>
      <w:pPr>
        <w:pStyle w:val="Normal"/>
        <w:jc w:val="start"/>
        <w:rPr>
          <w:lang w:val="ru-KG"/>
        </w:rPr>
      </w:pPr>
      <w:r>
        <w:rPr>
          <w:lang w:val="ru-KG"/>
        </w:rPr>
        <w:t>Для обеспечения строгой политики безопасности и чёткого разграничения прав доступа в системе реализована ролевая модель (Role-Based Access Control). Каждому типу пользователей делегирован определённый набор полномочий, соответствующий их функциям в реальных бизнес-процессах.</w:t>
        <w:br/>
      </w:r>
      <w:r>
        <w:rPr>
          <w:b/>
          <w:lang w:val="ru-KG"/>
        </w:rPr>
        <w:t>Администратор (ADMIN)</w:t>
      </w:r>
      <w:r>
        <w:rPr>
          <w:lang w:val="ru-KG"/>
        </w:rPr>
        <w:t> — высший уровень привилегий. Предоставляет полный доступ ко всем модулям системы, управление справочником ТН ВЭД, пользователями и аудиту.</w:t>
        <w:br/>
      </w:r>
      <w:r>
        <w:rPr>
          <w:b/>
          <w:lang w:val="ru-KG"/>
        </w:rPr>
        <w:t>Инспектор (INSPECTOR)</w:t>
      </w:r>
      <w:r>
        <w:rPr>
          <w:lang w:val="ru-KG"/>
        </w:rPr>
        <w:t> — сотрудник таможенного органа. Проверяет документы компаний, верифицирует их, одобряет или отклоняет поданные декларации с указанием причины.</w:t>
        <w:br/>
      </w:r>
      <w:r>
        <w:rPr>
          <w:b/>
          <w:lang w:val="ru-KG"/>
        </w:rPr>
        <w:t>Владелец компании (OWNER)</w:t>
      </w:r>
      <w:r>
        <w:rPr>
          <w:lang w:val="ru-KG"/>
        </w:rPr>
        <w:t> — зарегистрировал компанию на платформе. Управляет сотрудниками, контрактами, филиалами и декларациями своей компании.</w:t>
        <w:br/>
      </w:r>
      <w:r>
        <w:rPr>
          <w:b/>
          <w:lang w:val="ru-KG"/>
        </w:rPr>
        <w:t>Менеджер (MANAGER)</w:t>
      </w:r>
      <w:r>
        <w:rPr>
          <w:lang w:val="ru-KG"/>
        </w:rPr>
        <w:t> — сотрудник компании с правами на работу с декларациями.</w:t>
        <w:br/>
      </w:r>
      <w:r>
        <w:rPr>
          <w:b/>
          <w:lang w:val="ru-KG"/>
        </w:rPr>
        <w:t>Бухгалтер (ACCOUNTANT)</w:t>
      </w:r>
      <w:r>
        <w:rPr>
          <w:lang w:val="ru-KG"/>
        </w:rPr>
        <w:t> — сотрудник компании, ответственный за финансовую отчётность и платёжные счета.</w:t>
        <w:br/>
      </w:r>
      <w:r>
        <w:rPr>
          <w:b/>
          <w:lang w:val="ru-KG"/>
        </w:rPr>
        <w:t>Аналитик (ANALYTIC)</w:t>
      </w:r>
      <w:r>
        <w:rPr>
          <w:lang w:val="ru-KG"/>
        </w:rPr>
        <w:t> — сотрудник компании, имеющий доступ к аналитическим данным.</w:t>
        <w:br/>
      </w:r>
      <w:r>
        <w:rPr>
          <w:b/>
          <w:lang w:val="ru-KG"/>
        </w:rPr>
        <w:t>Логист (LOGISTICIAN)</w:t>
      </w:r>
      <w:r>
        <w:rPr>
          <w:lang w:val="ru-KG"/>
        </w:rPr>
        <w:t> — сотрудник компании, занимающийся логистикой грузов.</w:t>
        <w:br/>
      </w:r>
      <w:r>
        <w:rPr>
          <w:b/>
          <w:lang w:val="ru-KG"/>
        </w:rPr>
        <w:t>Пользователь (USER)</w:t>
      </w:r>
      <w:r>
        <w:rPr>
          <w:lang w:val="ru-KG"/>
        </w:rPr>
        <w:t> — физическое лицо. Подаёт личные декларации на товары и автомобили, отслеживает их статус и оплачивает таможенные счета.</w:t>
        <w:br/>
        <w:t>Разграничение доступа реализовано декларативно в конфигурации Spring Security путём сопоставления URL-шаблонов эндпоинтов с допустимыми ролями. Запросы без действительного JWT-токена отклоняются со статусом 401 (Unauthorized).</w:t>
      </w:r>
      <w:bookmarkStart w:id="21" w:name="__DdeLink__8823_4121217716"/>
    </w:p>
    <w:p>
      <w:pPr>
        <w:pStyle w:val="Normal"/>
        <w:spacing w:lineRule="auto" w:line="240"/>
        <w:ind w:hanging="0"/>
        <w:jc w:val="start"/>
        <w:rPr>
          <w:lang w:val="ru-KG"/>
        </w:rPr>
      </w:pPr>
      <w:r>
        <w:rPr>
          <w:lang w:val="ru-KG"/>
        </w:rPr>
      </w:r>
      <w:bookmarkEnd w:id="21"/>
      <w:r>
        <w:br w:type="page"/>
      </w:r>
    </w:p>
    <w:p>
      <w:pPr>
        <w:pStyle w:val="Normal"/>
        <w:spacing w:before="0" w:after="0"/>
        <w:rPr>
          <w:b/>
          <w:bCs/>
        </w:rPr>
      </w:pPr>
      <w:bookmarkStart w:id="22" w:name="_Toc232766509"/>
      <w:bookmarkStart w:id="23" w:name="__DdeLink__8826_4121217716"/>
      <w:r>
        <w:rPr>
          <w:b/>
          <w:bCs/>
        </w:rPr>
        <w:t>3.5 Основные сценарии использования</w:t>
      </w:r>
      <w:bookmarkEnd w:id="22"/>
      <w:bookmarkEnd w:id="23"/>
    </w:p>
    <w:p>
      <w:pPr>
        <w:pStyle w:val="Normal"/>
        <w:rPr/>
      </w:pPr>
      <w:bookmarkStart w:id="24" w:name="__DdeLink__8830_4121217716"/>
      <w:bookmarkEnd w:id="24"/>
      <w:r>
        <w:rPr/>
        <w:t>Функциональность системы можно представить в виде набора сценариев использования, сгруппированных по ролям действующих лиц:</w:t>
        <w:br/>
      </w:r>
      <w:r>
        <w:rPr>
          <w:b/>
        </w:rPr>
        <w:t>Физическое лицо:</w:t>
      </w:r>
      <w:r>
        <w:rPr/>
        <w:t> регистрация, загрузка документов, создание и подача декларации на товары или автомобиль, отслеживание статуса, оплата таможенного счёта, обращение к AI-ассистенту.</w:t>
        <w:br/>
      </w:r>
      <w:r>
        <w:rPr>
          <w:b/>
        </w:rPr>
        <w:t>Владелец компании:</w:t>
      </w:r>
      <w:r>
        <w:rPr/>
        <w:t> регистрация компании, загрузка документов, добавление сотрудников и назначение ролей, создание контрактов, подача деклараций на товары и автомобили.</w:t>
        <w:br/>
      </w:r>
      <w:r>
        <w:rPr>
          <w:b/>
        </w:rPr>
        <w:t>Инспектор:</w:t>
      </w:r>
      <w:r>
        <w:rPr/>
        <w:t> просмотр компаний на верификации, одобрение или отклонение документов, рассмотрение поданных деклараций, изменение их статуса.</w:t>
        <w:br/>
      </w:r>
      <w:r>
        <w:rPr>
          <w:b/>
        </w:rPr>
        <w:t>Администратор:</w:t>
      </w:r>
      <w:r>
        <w:rPr/>
        <w:t> управление справочником ТН ВЭД, управление пользователями, просмотр всех деклараций системы.</w:t>
        <w:br/>
        <w:t>Каждый сценарий реализован соответствующим набором эндпоинтов REST API. Взаимосвязь сценариев и ролей обеспечивается единой ролевой моделью, что исключает несанкционированные действия за пределами полномочий пользователя.</w:t>
      </w:r>
      <w:r>
        <w:br w:type="page"/>
      </w:r>
    </w:p>
    <w:p>
      <w:pPr>
        <w:pStyle w:val="Normal"/>
        <w:spacing w:before="0" w:after="0"/>
        <w:ind w:hanging="0"/>
        <w:jc w:val="center"/>
        <w:rPr>
          <w:b/>
          <w:bCs/>
        </w:rPr>
      </w:pPr>
      <w:bookmarkStart w:id="25" w:name="_Toc232766510"/>
      <w:bookmarkStart w:id="26" w:name="__DdeLink__8840_4121217716"/>
      <w:r>
        <w:rPr>
          <w:b/>
          <w:bCs/>
        </w:rPr>
        <w:t>РЕАЛИЗАЦИЯ СИСТЕМЫ</w:t>
      </w:r>
      <w:bookmarkEnd w:id="25"/>
      <w:bookmarkEnd w:id="26"/>
    </w:p>
    <w:p>
      <w:pPr>
        <w:pStyle w:val="Normal"/>
        <w:rPr>
          <w:b/>
          <w:bCs/>
        </w:rPr>
      </w:pPr>
      <w:bookmarkStart w:id="27" w:name="_Toc232766511"/>
      <w:bookmarkStart w:id="28" w:name="__DdeLink__8849_4121217716"/>
      <w:bookmarkEnd w:id="28"/>
      <w:r>
        <w:rPr>
          <w:b/>
          <w:bCs/>
        </w:rPr>
        <w:t>4.1 Серверная часть</w:t>
      </w:r>
      <w:bookmarkEnd w:id="27"/>
    </w:p>
    <w:p>
      <w:pPr>
        <w:pStyle w:val="Normal"/>
        <w:rPr/>
      </w:pPr>
      <w:r>
        <w:rPr/>
        <w:t>Серверное приложение реализовано на Spring Boot. Точка входа конфигурирует контекст приложения, после чего Spring автоматически регистрирует компоненты: контроллеры, сервисы и репозитории. Безопасность настраивается в классе SecurityFilterConfig, где определяется цепочка фильтров безопасности (SecurityFilterChain), политика сессий (STATELESS) и правила доступа к эндпоинтам. Перед стандартным фильтром аутентификации добавлен пользовательский фильтр JwtAuthenticationFilter, который извлекает JWT из заголовка Authorization, проверяет его валидность и устанавливает контекст безопасности.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Текущий аутентифицированный пользователь определяется по имени субъекта токена (email) через сервис AuthService. Этот механизм используется эндпоинтами для автоматического определения пользователя и его компании без передачи идентификатора в запросе.</w:t>
      </w:r>
    </w:p>
    <w:p>
      <w:pPr>
        <w:pStyle w:val="Normal"/>
        <w:rPr>
          <w:b/>
          <w:bCs/>
        </w:rPr>
      </w:pPr>
      <w:bookmarkStart w:id="29" w:name="_Toc232766512"/>
      <w:r>
        <w:rPr>
          <w:b/>
          <w:bCs/>
        </w:rPr>
        <w:t>4.2 REST API</w:t>
      </w:r>
      <w:bookmarkEnd w:id="29"/>
    </w:p>
    <w:p>
      <w:pPr>
        <w:pStyle w:val="Normal"/>
        <w:rPr>
          <w:lang w:val="ru-KG"/>
        </w:rPr>
      </w:pPr>
      <w:r>
        <w:rPr>
          <w:lang w:val="ru-KG"/>
        </w:rPr>
        <w:t>Архитектура разработанного REST API спроектирована по ресурсно-ориентированному принципу с чётким разделением функциональности на специализированные контроллеры. Все доступные эндпоинты распределены по логическим группам, отвечающим за конкретные бизнес-процессы системы.</w:t>
      </w:r>
    </w:p>
    <w:p>
      <w:pPr>
        <w:pStyle w:val="Normal"/>
        <w:rPr>
          <w:lang w:val="ru-KG"/>
        </w:rPr>
      </w:pPr>
      <w:r>
        <w:rPr>
          <w:lang w:val="ru-KG"/>
        </w:rPr>
        <w:br/>
      </w:r>
      <w:r>
        <w:rPr>
          <w:b/>
          <w:lang w:val="ru-KG"/>
        </w:rPr>
        <w:t>Аутентификация и управление пользователями</w:t>
      </w:r>
    </w:p>
    <w:p>
      <w:pPr>
        <w:pStyle w:val="Normal"/>
        <w:ind w:hanging="0" w:start="0"/>
        <w:rPr>
          <w:lang w:val="ru-KG"/>
        </w:rPr>
      </w:pPr>
      <w:r>
        <w:rPr>
          <w:lang w:val="ru-KG"/>
        </w:rPr>
        <w:t>Безопасность и разграничение прав доступа начинаются с модуля аутентификации. Эндпоинты POST /api/auth/login и /register обеспечивают вход в систему и регистрацию новых пользователей с загрузкой фото и подписи в виде multipart-файлов. Эндпоинт POST /api/auth/refresh-token обновляет пару токенов по действующему refresh-токену. Восстановление пароля реализовано двухшаговым процессом: POST /api/auth/password-recovery отправляет код подтверждения на email, а POST /api/auth/reset-password устанавливает новый пароль по этому коду. Управление учётными записями пользователей инкапсулировано в группе /api/users, предоставляющей поиск по идентификатору, email или ПИН, обновление личных данных и получение полного списка пользователей администратором.</w:t>
      </w:r>
    </w:p>
    <w:p>
      <w:pPr>
        <w:pStyle w:val="Normal"/>
        <w:ind w:hanging="0" w:start="0"/>
        <w:rPr>
          <w:lang w:val="ru-KG"/>
        </w:rPr>
      </w:pPr>
      <w:r>
        <w:rPr>
          <w:lang w:val="ru-KG"/>
        </w:rPr>
        <w:br/>
      </w:r>
      <w:r>
        <w:rPr>
          <w:b/>
          <w:lang w:val="ru-KG"/>
        </w:rPr>
        <w:t>Управление компаниями и персоналом</w:t>
      </w:r>
    </w:p>
    <w:p>
      <w:pPr>
        <w:pStyle w:val="Normal"/>
        <w:ind w:hanging="0" w:start="0"/>
        <w:rPr>
          <w:lang w:val="ru-KG"/>
        </w:rPr>
      </w:pPr>
      <w:r>
        <w:rPr>
          <w:lang w:val="ru-KG"/>
        </w:rPr>
        <w:t>Регистрация и управление юридическими лицами реализованы через группу эндпоинтов /api/company. Создание компании (POST /api/company/create-company) привязывает её к текущему аутентифицированному пользователю как владельцу. Поиск компании возможен по названию, ИНН, ОКПО и таможенному коду. Управление персоналом осуществляется через эндпоинты POST и DELETE /api/company/{companyId}/employees/{userId}, позволяющие владельцу добавлять сотрудников с назначением ролей (MANAGER, ACCOUNTANT, ANALYTIC, LOGISTICIAN) и удалять их. Верификация компаний инспектором реализована через GET /api/company/pending (список ожидающих верификации) и PATCH /api/company/verify/{companyId} (одобрение или отклонение). Доступ к операциям с компанией защищён SpEL-выражением @spEL.canAccessCompany, гарантирующим что только владелец или сотрудник компании может получить её данные.</w:t>
      </w:r>
    </w:p>
    <w:p>
      <w:pPr>
        <w:pStyle w:val="Normal"/>
        <w:ind w:hanging="0" w:start="0"/>
        <w:rPr>
          <w:lang w:val="ru-KG"/>
        </w:rPr>
      </w:pPr>
      <w:r>
        <w:rPr>
          <w:lang w:val="ru-KG"/>
        </w:rPr>
        <w:br/>
      </w:r>
      <w:r>
        <w:rPr>
          <w:b/>
          <w:lang w:val="ru-KG"/>
        </w:rPr>
        <w:t>Декларации компаний</w:t>
      </w:r>
    </w:p>
    <w:p>
      <w:pPr>
        <w:pStyle w:val="Normal"/>
        <w:ind w:hanging="0" w:start="0"/>
        <w:rPr>
          <w:lang w:val="ru-KG"/>
        </w:rPr>
      </w:pPr>
      <w:r>
        <w:rPr>
          <w:lang w:val="ru-KG"/>
        </w:rPr>
        <w:t>Полный жизненный цикл таможенных деклараций юридических лиц управляется через /api/company-declarations. Создание декларации (POST) фиксирует реквизиты инвойса, условия Incoterms и тип транспорта. Эндпоинт PATCH /submit/{id} переводит декларацию из статуса DRAFT в SUBMITTED и автоматически формирует платёжный счёт на основе исчисленных налогов по товарным позициям. Инспектор одобряет (PATCH /approve/{id}) или отклоняет (PATCH /reject/{id}) декларацию с указанием причины.</w:t>
      </w:r>
    </w:p>
    <w:p>
      <w:pPr>
        <w:pStyle w:val="Normal"/>
        <w:ind w:hanging="0" w:start="0"/>
        <w:rPr>
          <w:lang w:val="ru-KG"/>
        </w:rPr>
      </w:pPr>
      <w:r>
        <w:rPr>
          <w:lang w:val="ru-KG"/>
        </w:rPr>
      </w:r>
    </w:p>
    <w:p>
      <w:pPr>
        <w:pStyle w:val="Normal"/>
        <w:ind w:hanging="0" w:start="0"/>
        <w:rPr>
          <w:lang w:val="ru-KG"/>
        </w:rPr>
      </w:pPr>
      <w:r>
        <w:rPr>
          <w:b/>
          <w:lang w:val="ru-KG"/>
        </w:rPr>
        <w:t>Декларации физических лиц</w:t>
      </w:r>
    </w:p>
    <w:p>
      <w:pPr>
        <w:pStyle w:val="Normal"/>
        <w:ind w:hanging="0" w:start="0"/>
        <w:rPr>
          <w:lang w:val="ru-KG"/>
        </w:rPr>
      </w:pPr>
      <w:r>
        <w:rPr>
          <w:lang w:val="ru-KG"/>
        </w:rPr>
        <w:t>Аналогичный жизненный цикл реализован для физических лиц через /api/user-declarations. Дополнительно предусмотрен эндпоинт GET /get-all для администраторов и инспекторов, возвращающий все декларации системы.</w:t>
      </w:r>
    </w:p>
    <w:p>
      <w:pPr>
        <w:pStyle w:val="Normal"/>
        <w:ind w:hanging="0" w:start="0"/>
        <w:rPr>
          <w:lang w:val="ru-KG"/>
        </w:rPr>
      </w:pPr>
      <w:r>
        <w:rPr>
          <w:lang w:val="ru-KG"/>
        </w:rPr>
        <w:br/>
      </w:r>
      <w:r>
        <w:rPr>
          <w:b/>
          <w:lang w:val="ru-KG"/>
        </w:rPr>
        <w:t>Декларации на автомобили</w:t>
      </w:r>
    </w:p>
    <w:p>
      <w:pPr>
        <w:pStyle w:val="Normal"/>
        <w:ind w:hanging="0" w:start="0"/>
        <w:rPr>
          <w:lang w:val="ru-KG"/>
        </w:rPr>
      </w:pPr>
      <w:r>
        <w:rPr>
          <w:lang w:val="ru-KG"/>
        </w:rPr>
        <w:t>Специализированный контроллер /api/car-declarations обрабатывает таможенное оформление транспортных средств. Создание декларации возможно как для физического лица (POST /user), так и для компании (POST /company/{companyId}). Поиск осуществляется по идентификатору и VIN-коду. Таможенные платежи рассчитываются автоматически при создании по стандарту ЕАЭС в зависимости от типа топлива, объёма двигателя и года выпуска. Электромобили</w:t>
      </w:r>
    </w:p>
    <w:p>
      <w:pPr>
        <w:pStyle w:val="Normal"/>
        <w:ind w:hanging="0" w:start="0"/>
        <w:rPr>
          <w:lang w:val="ru-KG"/>
        </w:rPr>
      </w:pPr>
      <w:r>
        <w:rPr>
          <w:lang w:val="ru-KG"/>
        </w:rPr>
        <w:t xml:space="preserve"> </w:t>
      </w:r>
      <w:r>
        <w:rPr>
          <w:lang w:val="ru-KG"/>
        </w:rPr>
        <w:t>получают льготную ставку с нулевой пошлиной и акцизом.</w:t>
      </w:r>
    </w:p>
    <w:p>
      <w:pPr>
        <w:pStyle w:val="Normal"/>
        <w:ind w:hanging="0" w:start="0"/>
        <w:rPr>
          <w:lang w:val="ru-KG"/>
        </w:rPr>
      </w:pPr>
      <w:r>
        <w:rPr>
          <w:lang w:val="ru-KG"/>
        </w:rPr>
        <w:br/>
      </w:r>
      <w:r>
        <w:rPr>
          <w:b/>
          <w:lang w:val="ru-KG"/>
        </w:rPr>
        <w:t>Справочник ТН ВЭД</w:t>
      </w:r>
    </w:p>
    <w:p>
      <w:pPr>
        <w:pStyle w:val="Normal"/>
        <w:ind w:hanging="0" w:start="0"/>
        <w:rPr>
          <w:lang w:val="ru-KG"/>
        </w:rPr>
      </w:pPr>
      <w:r>
        <w:rPr>
          <w:lang w:val="ru-KG"/>
        </w:rPr>
        <w:t>Управление справочником таможенной классификации товаров реализовано через /api/tnved. Администратор может создавать, обновлять и удалять коды. Поиск выполняется по идентификатору и точному значению кода. Все пользователи имеют доступ к чтению справочника.</w:t>
        <w:br/>
      </w:r>
      <w:r>
        <w:rPr>
          <w:b/>
          <w:lang w:val="ru-KG"/>
        </w:rPr>
        <w:t>AI-ассистент</w:t>
      </w:r>
      <w:r>
        <w:rPr>
          <w:lang w:val="ru-KG"/>
        </w:rPr>
        <w:br/>
        <w:t>Взаимодействие с интегрированным ассистентом Sweez AI реализовано через единственный эндпоинт POST /api/ai/ask. Запрос принимает идентификатор чата и текст вопроса, ответ формируется языковой моделью Mistral AI с учётом истории диалога и системного промпта платформы.</w:t>
      </w:r>
    </w:p>
    <w:p>
      <w:pPr>
        <w:pStyle w:val="Normal"/>
        <w:rPr>
          <w:b/>
          <w:bCs/>
        </w:rPr>
      </w:pPr>
      <w:bookmarkStart w:id="30" w:name="_Toc232766514"/>
      <w:r>
        <w:rPr>
          <w:b/>
          <w:bCs/>
        </w:rPr>
        <w:t>4.3 База данных и миграции</w:t>
      </w:r>
      <w:bookmarkEnd w:id="30"/>
    </w:p>
    <w:p>
      <w:pPr>
        <w:pStyle w:val="Normal"/>
        <w:rPr/>
      </w:pPr>
      <w:r>
        <w:rPr/>
        <w:t>Схема базы данных управляется инструментом Flyway. Каждое изменение схемы оформляется отдельным версионированным SQL-скриптом, что обеспечивает воспроизводимость структуры БД в любом окружении. Базовая схема описана в миграции V2.0__clean_schema.sql и включает все таблицы системы с ограничениями внешних ключей, индексами и значениями по умолчанию. Тестовые данные загружаются миграцией V2.1_fill_data.sql. Для обеспечения ссылочной целостности при наличии циклических зависимостей (например, между users и companies) внешний ключ company_id добавляется отдельной командой ALTER TABLE после создания обеих таблиц.</w:t>
      </w:r>
    </w:p>
    <w:p>
      <w:pPr>
        <w:pStyle w:val="Normal"/>
        <w:rPr>
          <w:b/>
          <w:bCs/>
        </w:rPr>
      </w:pPr>
      <w:r>
        <w:rPr>
          <w:b/>
          <w:bCs/>
        </w:rPr>
        <w:t>4.4 Хранение файлов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Для хранения документов пользователей и компаний (фото профиля, подписи, свидетельства регистрации, паспорта, контракты) используется объектное хранилище MinIO, совместимое с протоколом S3. Загрузка файлов выполняется сервисом MinIoServiceImpl, который формирует уникальный путь для каждого файла и возвращает его для сохранения в базе данных. Метаданные файлов (оригинальное имя, MIME-тип, размер, путь) фиксируются в таблице file_storage.</w:t>
      </w:r>
    </w:p>
    <w:p>
      <w:pPr>
        <w:pStyle w:val="Normal"/>
        <w:rPr>
          <w:b/>
          <w:bCs/>
        </w:rPr>
      </w:pPr>
      <w:bookmarkStart w:id="31" w:name="_Toc232766515"/>
      <w:r>
        <w:rPr>
          <w:b/>
          <w:bCs/>
        </w:rPr>
        <w:t xml:space="preserve">4.5 </w:t>
      </w:r>
      <w:bookmarkEnd w:id="31"/>
      <w:r>
        <w:rPr>
          <w:b/>
          <w:bCs/>
        </w:rPr>
        <w:t>Преобразование данных и DTO</w:t>
      </w:r>
    </w:p>
    <w:p>
      <w:pPr>
        <w:pStyle w:val="Normal"/>
        <w:rPr/>
      </w:pPr>
      <w:r>
        <w:rPr/>
        <w:t>Для изоляции внутренней доменной модели от внешнего контракта API применяется паттерн «Объект передачи данных» (DTO). Запросы клиента десериализуются в объекты-запросы (DtoRequest), а ответы формируются из объектов-ответов (DtoResponse) и компактных представлений (DtoView). Преобразование между сущностями и DTO выполняется мапперами MapStruct, генерирующими код на этапе компиляции. Такой подход исключает прямую сериализацию JPA-сущностей, предотвращает раскрытие чувствительных полей (хэш пароля, внутренние идентификаторы) и защищает от проблем ленивой загрузки связанных коллекций.</w:t>
      </w:r>
      <w:bookmarkStart w:id="32" w:name="_Toc232766516"/>
      <w:bookmarkEnd w:id="32"/>
    </w:p>
    <w:p>
      <w:pPr>
        <w:pStyle w:val="Normal"/>
        <w:rPr>
          <w:b/>
          <w:bCs/>
        </w:rPr>
      </w:pPr>
      <w:bookmarkStart w:id="33" w:name="_Toc232766517"/>
      <w:r>
        <w:rPr>
          <w:b/>
          <w:bCs/>
        </w:rPr>
        <w:t xml:space="preserve">4.6 </w:t>
      </w:r>
      <w:bookmarkEnd w:id="33"/>
      <w:r>
        <w:rPr>
          <w:b/>
          <w:bCs/>
        </w:rPr>
        <w:t>Интеграция искусственного интеллекта</w:t>
      </w:r>
    </w:p>
    <w:p>
      <w:pPr>
        <w:pStyle w:val="Normal"/>
        <w:rPr/>
      </w:pPr>
      <w:bookmarkStart w:id="34" w:name="__DdeLink__8849_4121217716_Copy_1"/>
      <w:bookmarkEnd w:id="34"/>
      <w:r>
        <w:rPr/>
        <w:t>В систему интегрирован AI-ассистент на базе Spring AI с подключением языковой модели Mistral AI. Конфигурация чата описана в классе AiConfig, где создаётся ChatClient с подключёнными советниками (advisors). Кастомный SystemPromptAdvisor загружает системный промпт из файла resources/docsai/promptAiProject.md при старте приложения и добавляет его как системное сообщение к каждому запросу пользователя. Сохранение истории диалога обеспечивается MessageChatMemoryAdvisor с использованием JdbcChatMemoryRepository для персистентного хранения сообщений в базе данных PostgreSQL. Каждый пользователь имеет собственный чат с уникальным идентификатором, история которого сохраняется между сессиями.</w:t>
      </w:r>
    </w:p>
    <w:p>
      <w:pPr>
        <w:pStyle w:val="Normal"/>
        <w:rPr>
          <w:b/>
          <w:bCs/>
        </w:rPr>
      </w:pPr>
      <w:r>
        <w:rPr>
          <w:b/>
          <w:bCs/>
        </w:rPr>
        <w:t>4.7 Конфигурация и развёртывание окружения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Конфигурация приложения вынесена в параметры окружения, что соответствует принципам методологии «двенадцати факторов». Адрес базы данных, учётные данные, параметры MinIO и ключ Mistral AI задаются переменными окружения. Для локального развёртывания используется Docker Compose, описывающий сервисы приложения, базы данных PostgreSQL и хранилища MinIO. При первом запуске Flyway автоматически применяет миграции и приводит схему базы данных в актуальное состояние.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Валидация входных данных выполняется аннотациями спецификации Bean Validation (@NotNull, @NotBlank, @Size) на полях объектов-запросов. Контроллеры помечают параметры аннотацией @Valid, что обеспечивает автоматическую проверку до выполнения бизнес-логики и возврат понятных сообщений об ошибках при некорректном вводе. Глобальная обработка исключений реализована в классе GlobalExceptionHandler с возвратом структурированного объекта ErrorBody.</w:t>
      </w:r>
      <w:r>
        <w:br w:type="page"/>
      </w:r>
    </w:p>
    <w:p>
      <w:pPr>
        <w:pStyle w:val="Normal"/>
        <w:spacing w:before="0" w:after="0"/>
        <w:ind w:hanging="0"/>
        <w:jc w:val="center"/>
        <w:rPr>
          <w:b/>
          <w:bCs/>
        </w:rPr>
      </w:pPr>
      <w:bookmarkStart w:id="35" w:name="_Toc232766518"/>
      <w:r>
        <w:rPr>
          <w:b/>
          <w:bCs/>
        </w:rPr>
        <w:t>ВЫПОЛНЕННЫЕ ДОРАБОТКИ</w:t>
      </w:r>
      <w:bookmarkEnd w:id="35"/>
    </w:p>
    <w:p>
      <w:pPr>
        <w:pStyle w:val="Normal"/>
        <w:rPr/>
      </w:pPr>
      <w:r>
        <w:rPr/>
        <w:t>Доработки выполнялись поэтапно, с разделением на независимые логические блоки и проверкой работоспособности после каждого этапа. Работа велась в отдельной ветке системы контроля версий, изменения фиксировались отдельными коммитами по принципу «один завершённый блок — один коммит». Такой подход обеспечивает прозрачность истории изменений и возможность точечного отката. Этапы включали: разработку серверного функционала деклараций; реализацию автоматических расчётов таможенных платежей; интеграцию AI-ассистента; подключение хранилища файлов. Ниже подробно рассмотрен каждый блок изменений.</w:t>
      </w:r>
    </w:p>
    <w:p>
      <w:pPr>
        <w:pStyle w:val="Normal"/>
        <w:rPr>
          <w:b/>
          <w:bCs/>
        </w:rPr>
      </w:pPr>
      <w:bookmarkStart w:id="36" w:name="_Toc232766519"/>
      <w:r>
        <w:rPr>
          <w:b/>
          <w:bCs/>
        </w:rPr>
        <w:t xml:space="preserve">5.1 </w:t>
      </w:r>
      <w:bookmarkEnd w:id="36"/>
      <w:r>
        <w:rPr>
          <w:b/>
          <w:bCs/>
        </w:rPr>
        <w:t xml:space="preserve"> Реализация системы таможенных деклараций для компаний</w:t>
      </w:r>
    </w:p>
    <w:p>
      <w:pPr>
        <w:pStyle w:val="Normal"/>
        <w:rPr/>
      </w:pPr>
      <w:r>
        <w:rPr/>
        <w:t>Разработан полный программный стек для работы с таможенными декларациями юридических лиц: сущность CompanyDeclaration, наследующая базовый класс DeclarationEntity по стратегии JOINED, репозиторий, сервис, контроллер, объекты передачи данных и маппер. Декларация компании фиксирует реквизиты коммерческого инвойса (номер, дату), условия поставки Incoterms (код и место), тип и идентификатор транспортного средства, а также привязку к контракту компании. Реализован полный жизненный цикл: создание в статусе DRAFT, редактирование, подача на проверку (SUBMITTED), рассмотрение инспектором (IN_REVIEW) и финальное одобрение (APPROVED) или отклонение (REJECTED) с указанием причины. Доступны выборки деклараций по идентификатору компании и по отдельному идентификатору декларации.</w:t>
      </w:r>
    </w:p>
    <w:p>
      <w:pPr>
        <w:pStyle w:val="Normal"/>
        <w:rPr>
          <w:b/>
          <w:bCs/>
        </w:rPr>
      </w:pPr>
      <w:bookmarkStart w:id="37" w:name="_Toc232766520"/>
      <w:r>
        <w:rPr>
          <w:b/>
          <w:bCs/>
        </w:rPr>
        <w:t xml:space="preserve">5.2 </w:t>
      </w:r>
      <w:bookmarkEnd w:id="37"/>
      <w:r>
        <w:rPr>
          <w:b/>
          <w:bCs/>
        </w:rPr>
        <w:t>Реализация системы деклараций для физических лиц</w:t>
      </w:r>
    </w:p>
    <w:p>
      <w:pPr>
        <w:pStyle w:val="Normal"/>
        <w:rPr/>
      </w:pPr>
      <w:r>
        <w:rPr/>
        <w:t>По аналогичному принципу реализован стек для деклараций физических лиц: сущность UserDeclaration с полями способа доставки (arrivalWay), номера отслеживания (trackingNumber) и признака личного использования товара (isPersonal). Контроллер предоставляет эндпоинты создания, получения по идентификатору, получения всех деклараций конкретного пользователя, а также эндпоинт для администраторов и инспекторов, возвращающий полный список деклараций системы. Жизненный цикл декларации идентичен корпоративному: подача переводит декларацию в статус SUBMITTED с автоматическим формированием платёжного счёта.</w:t>
      </w:r>
    </w:p>
    <w:p>
      <w:pPr>
        <w:pStyle w:val="Normal"/>
        <w:rPr>
          <w:b/>
          <w:bCs/>
        </w:rPr>
      </w:pPr>
      <w:bookmarkStart w:id="38" w:name="_Toc232766521"/>
      <w:r>
        <w:rPr>
          <w:b/>
          <w:bCs/>
        </w:rPr>
        <w:t xml:space="preserve">5.3 </w:t>
      </w:r>
      <w:bookmarkEnd w:id="38"/>
      <w:r>
        <w:rPr>
          <w:b/>
          <w:bCs/>
        </w:rPr>
        <w:t>Реализация деклараций на автомобили с автоматическим расчётом платежей</w:t>
      </w:r>
    </w:p>
    <w:p>
      <w:pPr>
        <w:pStyle w:val="Normal"/>
        <w:rPr/>
      </w:pPr>
      <w:r>
        <w:rPr/>
        <w:t>Разработана специализированная сущность CarDeclaration с полным набором технических характеристик транспортного средства: VIN-код, марка, модель, цвет, год выпуска, объём и мощность двигателя (в л.с. и кВт), тип топлива, номер технического паспорта, пробег и таможенная стоимость. Ключевой особенностью является автоматический расчёт таможенных платежей при создании декларации по стандарту ЕАЭС: таможенная пошлина, НДС и акциз исчисляются на стороне сервера на основании типа топлива, объёма двигателя и года выпуска без участия пользователя. Для электромобилей (тип топлива ELECTRIC) предусмотрена льготная нулевая ставка по пошлине и акцизу. Декларация может быть оформлена как от имени физического лица, так и от имени компании.</w:t>
      </w:r>
    </w:p>
    <w:p>
      <w:pPr>
        <w:pStyle w:val="Normal"/>
        <w:rPr>
          <w:b/>
          <w:bCs/>
        </w:rPr>
      </w:pPr>
      <w:bookmarkStart w:id="39" w:name="_Toc232766522"/>
      <w:r>
        <w:rPr>
          <w:b/>
          <w:bCs/>
        </w:rPr>
        <w:t xml:space="preserve">5.4 </w:t>
      </w:r>
      <w:bookmarkEnd w:id="39"/>
      <w:r>
        <w:rPr>
          <w:b/>
          <w:bCs/>
        </w:rPr>
        <w:t xml:space="preserve"> Верификация компаний и документов инспектором</w:t>
      </w:r>
    </w:p>
    <w:p>
      <w:pPr>
        <w:pStyle w:val="Normal"/>
        <w:rPr/>
      </w:pPr>
      <w:r>
        <w:rPr/>
        <w:t>Реализован механизм верификации юридических лиц. При регистрации компания получает статус PENDING. Инспектор просматривает список компаний, ожидающих верификации, через специализированный эндпоинт и принимает решение об одобрении или отклонении. При одобрении фиксируются идентификатор инспектора (verifiedBy) и дата верификации (verifiedAt). Аналогичный механизм реализован для документов компаний и физических лиц: сущности CompanyDocumentEntity и IndividualDocumentEntity хранят тип документа, статус верификации, ссылку на файл в MinIO, инспектора и дату проверки. Типы документов компании охватывают все необходимые для таможенного оформления: свидетельство о регистрации, ИНН, устав, лицензии на импорт и экспорт, свидетельство НДС и доверенность представителя.</w:t>
      </w:r>
    </w:p>
    <w:p>
      <w:pPr>
        <w:pStyle w:val="Normal"/>
        <w:rPr>
          <w:b/>
          <w:bCs/>
        </w:rPr>
      </w:pPr>
      <w:bookmarkStart w:id="40" w:name="_Toc232766523"/>
      <w:r>
        <w:rPr>
          <w:b/>
          <w:bCs/>
        </w:rPr>
        <w:t xml:space="preserve">5.5 </w:t>
      </w:r>
      <w:bookmarkEnd w:id="40"/>
      <w:r>
        <w:rPr>
          <w:b/>
          <w:bCs/>
        </w:rPr>
        <w:t xml:space="preserve"> Управление сотрудниками компании и ролевая модель</w:t>
      </w:r>
    </w:p>
    <w:p>
      <w:pPr>
        <w:pStyle w:val="Normal"/>
        <w:rPr/>
      </w:pPr>
      <w:r>
        <w:rPr/>
        <w:t>Реализована система управления персоналом компании. Владелец (OWNER) может добавлять пользователей в свою компанию, назначая им одну из корпоративных ролей: MANAGER, ACCOUNTANT, ANALYTIC, LOGISTICIAN. При добавлении сотрудника в таблице пользователей фиксируется привязка к компании через company_id, а в таблице ролей добавляется соответствующая запись. При удалении сотрудника привязка к компании снимается и корпоративные роли отзываются. Доступ к операциям управления персоналом защищён SpEL-выражением, проверяющим принадлежность текущего пользователя к компании. Полная ролевая модель системы охватывает восемь ролей: ADMIN, INSPECTOR, OWNER, MANAGER, ACCOUNTANT, ANALYTIC, LOGISTICIAN, USER.</w:t>
      </w:r>
    </w:p>
    <w:p>
      <w:pPr>
        <w:pStyle w:val="Normal"/>
        <w:rPr>
          <w:b/>
          <w:bCs/>
        </w:rPr>
      </w:pPr>
      <w:bookmarkStart w:id="41" w:name="_Toc232766524"/>
      <w:r>
        <w:rPr>
          <w:b/>
          <w:bCs/>
        </w:rPr>
        <w:t xml:space="preserve">5.6 </w:t>
      </w:r>
      <w:bookmarkEnd w:id="41"/>
      <w:r>
        <w:rPr>
          <w:b/>
          <w:bCs/>
        </w:rPr>
        <w:t>Автоматическое формирование платёжного счёта при подаче декларации</w:t>
      </w:r>
    </w:p>
    <w:p>
      <w:pPr>
        <w:pStyle w:val="Normal"/>
        <w:rPr/>
      </w:pPr>
      <w:r>
        <w:rPr/>
        <w:t>При переводе любой декларации в статус SUBMITTED серверный слой автоматически агрегирует суммы НДС, таможенной пошлины и акциза по всем товарным позициям и формирует сущность PaymentInvoiceEntity. В счёте фиксируются итоговые суммы по каждому виду платежа, общая сумма к оплате, дата формирования и срок оплаты (автоматически устанавливается через 15 дней от даты создания). Статус счёта устанавливается в ISSUED. В дальнейшем статус может быть обновлён до PAID, PARTIALLY_PAID, OVERDUE или CANCELLED в зависимости от хода оплаты. Это исключает ручной расчёт таможенных платежей и гарантирует корректность выставляемых сумм.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bookmarkStart w:id="42" w:name="_Toc232766525"/>
      <w:r>
        <w:rPr>
          <w:b/>
          <w:bCs/>
        </w:rPr>
        <w:t xml:space="preserve">5.7 </w:t>
      </w:r>
      <w:bookmarkEnd w:id="42"/>
      <w:r>
        <w:rPr>
          <w:b/>
          <w:bCs/>
        </w:rPr>
        <w:t>Справочник кодов ТН ВЭД со ставками пошлин, НДС и акциза</w:t>
      </w:r>
    </w:p>
    <w:p>
      <w:pPr>
        <w:pStyle w:val="Normal"/>
        <w:rPr/>
      </w:pPr>
      <w:r>
        <w:rPr/>
        <w:t>Разработан полный стек справочника таможенной классификации товаров: сущность TnvedCodeEntity, репозиторий, сервис, контроллер, DTO и маппер. Каждая запись справочника содержит 10-значный код ТН ВЭД, текстовое описание товарной позиции и три ставки: таможенной пошлины, акциза и НДС. Администратор может создавать, редактировать и удалять записи справочника. Все пользователи имеют доступ к чтению. Поиск осуществляется по идентификатору и точному значению кода. Ставки справочника используются при расчёте таможенных платежей по товарным позициям декларации: при привязке товара к коду ТН ВЭД ставки автоматически применяются к его стоимости.</w:t>
      </w:r>
    </w:p>
    <w:p>
      <w:pPr>
        <w:pStyle w:val="Normal"/>
        <w:rPr>
          <w:b/>
          <w:bCs/>
        </w:rPr>
      </w:pPr>
      <w:bookmarkStart w:id="43" w:name="_Toc232766526"/>
      <w:r>
        <w:rPr>
          <w:b/>
          <w:bCs/>
        </w:rPr>
        <w:t xml:space="preserve">5.8 </w:t>
      </w:r>
      <w:bookmarkEnd w:id="43"/>
      <w:r>
        <w:rPr>
          <w:b/>
          <w:bCs/>
        </w:rPr>
        <w:t>Интеграция AI-ассистента Sweez AI на базе Mistral с памятью чата</w:t>
      </w:r>
    </w:p>
    <w:p>
      <w:pPr>
        <w:pStyle w:val="Normal"/>
        <w:jc w:val="start"/>
        <w:rPr>
          <w:lang w:val="ru-KG"/>
        </w:rPr>
      </w:pPr>
      <w:bookmarkStart w:id="44" w:name="__DdeLink__8863_4121217716"/>
      <w:r>
        <w:rPr>
          <w:lang w:val="ru-KG"/>
        </w:rPr>
        <w:t>В систему интегрирован интеллектуальный ассистент Sweez AI на базе фреймворка Spring AI с подключением языковой модели Mistral AI (модель mistral-small-latest). Конфигурация ChatClient включает два советника (advisors): кастомный SystemPromptAdvisor, загружающий системный промпт о платформе из файла ресурсов при старте приложения и добавляющий его к каждому запросу, и MessageChatMemoryAdvisor, обеспечивающий сохранение истории диалога. История чата персистентно хранится в базе данных PostgreSQL через JdbcChatMemoryRepository. Каждый пользователь имеет собственный чат с уникальным UUID-идентификатором, история которого сохраняется между сессиями. Температура генерации установлена на уровне 0.3 для обеспечения точных и предсказуемых ответов по тематике платформы. Глубина памяти чата настраивается через параметр max.messages в конфигурации приложения.</w:t>
      </w:r>
      <w:bookmarkEnd w:id="44"/>
    </w:p>
    <w:p>
      <w:pPr>
        <w:pStyle w:val="Normal"/>
        <w:jc w:val="start"/>
        <w:rPr>
          <w:b/>
          <w:bCs/>
          <w:lang w:val="ru-KG"/>
        </w:rPr>
      </w:pPr>
      <w:r>
        <w:rPr>
          <w:b/>
          <w:bCs/>
          <w:lang w:val="ru-KG"/>
        </w:rPr>
        <w:t>5.9 Хранение файлов и документов в MinIO</w:t>
      </w:r>
    </w:p>
    <w:p>
      <w:pPr>
        <w:pStyle w:val="Normal"/>
        <w:jc w:val="start"/>
        <w:rPr>
          <w:b w:val="false"/>
          <w:bCs w:val="false"/>
          <w:lang w:val="ru-KG"/>
        </w:rPr>
      </w:pPr>
      <w:r>
        <w:rPr>
          <w:b w:val="false"/>
          <w:bCs w:val="false"/>
          <w:lang w:val="ru-KG"/>
        </w:rPr>
        <w:t>Для хранения пользовательских файлов подключено объектное хранилище MinIO, совместимое с протоколом S3. Реализован сервис MinIoServiceImpl, обеспечивающий загрузку, скачивание и удаление файлов. При регистрации пользователя в MinIO загружаются фотография профиля и образец подписи, пути к которым фиксируются в таблице users. Документы компаний и физических лиц также хранятся в MinIO, а их метаданные (оригинальное имя файла, MIME-тип, размер, путь, дата загрузки и загрузивший пользователь) сохраняются в таблице file_storage. Конфигурация подключения к MinIO (URL, ключи доступа) вынесена в параметры окружения и описана в отдельном файле minio.properties.</w:t>
      </w:r>
    </w:p>
    <w:p>
      <w:pPr>
        <w:pStyle w:val="Normal"/>
        <w:jc w:val="start"/>
        <w:rPr>
          <w:b w:val="false"/>
          <w:bCs w:val="false"/>
          <w:lang w:val="ru-KG"/>
        </w:rPr>
      </w:pPr>
      <w:r>
        <w:rPr>
          <w:b w:val="false"/>
          <w:bCs w:val="false"/>
          <w:lang w:val="ru-KG"/>
        </w:rPr>
      </w:r>
    </w:p>
    <w:p>
      <w:pPr>
        <w:pStyle w:val="Normal"/>
        <w:jc w:val="start"/>
        <w:rPr>
          <w:b w:val="false"/>
          <w:bCs w:val="false"/>
          <w:lang w:val="ru-KG"/>
        </w:rPr>
      </w:pPr>
      <w:r>
        <w:rPr>
          <w:b w:val="false"/>
          <w:bCs w:val="false"/>
          <w:lang w:val="ru-KG"/>
        </w:rPr>
      </w:r>
    </w:p>
    <w:p>
      <w:pPr>
        <w:pStyle w:val="Normal"/>
        <w:jc w:val="start"/>
        <w:rPr>
          <w:b w:val="false"/>
          <w:bCs w:val="false"/>
          <w:lang w:val="ru-KG"/>
        </w:rPr>
      </w:pPr>
      <w:r>
        <w:rPr>
          <w:b w:val="false"/>
          <w:bCs w:val="false"/>
          <w:lang w:val="ru-KG"/>
        </w:rPr>
      </w:r>
    </w:p>
    <w:p>
      <w:pPr>
        <w:pStyle w:val="Normal"/>
        <w:jc w:val="start"/>
        <w:rPr>
          <w:b/>
          <w:bCs/>
          <w:lang w:val="ru-KG"/>
        </w:rPr>
      </w:pPr>
      <w:r>
        <w:rPr>
          <w:b/>
          <w:bCs/>
          <w:lang w:val="ru-KG"/>
        </w:rPr>
        <w:t>5.10 JWT аутентификация с поддержкой refresh-токенов и восстановления пароля</w:t>
      </w:r>
    </w:p>
    <w:p>
      <w:pPr>
        <w:pStyle w:val="Normal"/>
        <w:jc w:val="start"/>
        <w:rPr>
          <w:b w:val="false"/>
          <w:bCs w:val="false"/>
          <w:lang w:val="ru-KG"/>
        </w:rPr>
      </w:pPr>
      <w:r>
        <w:rPr>
          <w:b w:val="false"/>
          <w:bCs w:val="false"/>
          <w:lang w:val="ru-KG"/>
        </w:rPr>
        <w:t>Реализована полная система аутентификации на основе JWT. При входе пользователь получает пару токенов: краткосрочный access-токен для авторизации запросов и долгосрочный refresh-токен для обновления пары без повторного ввода пароля. JwtAuthenticationFilter перехватывает каждый входящий запрос, извлекает токен из заголовка Authorization, верифицирует его подпись и срок действия, после чего устанавливает контекст безопасности Spring Security. Реализован механизм восстановления пароля: по запросу пользователя на email отправляется письмо с кодом подтверждения (через сервис MailServiceImpl с шаблоном Thymeleaf), после ввода которого устанавливается новый пароль. Все пароли хранятся исключительно в виде хэшей Bcrypt.</w:t>
      </w:r>
    </w:p>
    <w:p>
      <w:pPr>
        <w:pStyle w:val="Normal"/>
        <w:jc w:val="start"/>
        <w:rPr>
          <w:b/>
          <w:bCs/>
          <w:lang w:val="ru-KG"/>
        </w:rPr>
      </w:pPr>
      <w:r>
        <w:rPr>
          <w:b/>
          <w:bCs/>
          <w:lang w:val="ru-KG"/>
        </w:rPr>
        <w:t>5.11  Сводка изменённых артефактов</w:t>
      </w:r>
    </w:p>
    <w:p>
      <w:pPr>
        <w:pStyle w:val="Normal"/>
        <w:jc w:val="start"/>
        <w:rPr>
          <w:b w:val="false"/>
          <w:bCs w:val="false"/>
          <w:lang w:val="ru-KG"/>
        </w:rPr>
      </w:pPr>
      <w:r>
        <w:rPr>
          <w:b w:val="false"/>
          <w:bCs w:val="false"/>
          <w:lang w:val="ru-KG"/>
        </w:rPr>
        <w:t>В рамках разработки системы SweezCustoms созданы и введены в эксплуатацию следующие программные компоненты. На уровне серверной бизнес-логики разработаны сущности DeclarationEntity (базовый класс), CompanyDeclaration, UserDeclaration, CarDeclaration, DeclarationProduct, PaymentInvoiceEntity, TnvedCodeEntity, CompanyEntity, CompanyDocumentEntity, IndividualDocumentEntity, ContractEntity, BranchCompanyEntity, AiChat, AiChatMessage и FileStorage. Для каждой сущности реализованы репозиторий, сервис с интерфейсом и реализацией, REST-контроллер, объекты передачи данных трёх видов (Request, Response, View) и маппер MapStruct. Схема базы данных управляется двумя миграциями Flyway: V2.0 описывает полную структуру, V2.1 загружает тестовые данные. Безопасность системы обеспечивается фильтром JwtAuthenticationFilter, сервисом JwtCore и конфигурацией SecurityFilterConfig. Хранение файлов реализовано через MinIoServiceImpl с подключением к S3-совместимому хранилищу MinIO. AI-ассистент сконфигурирован в AiConfig с кастомными советниками SystemPromptAdvisor и MessageChatMemoryAdvisor.</w:t>
      </w:r>
    </w:p>
    <w:p>
      <w:pPr>
        <w:pStyle w:val="HeadingCentered1"/>
        <w:rPr/>
      </w:pPr>
      <w:bookmarkStart w:id="45" w:name="__DdeLink__8872_4121217716"/>
      <w:bookmarkEnd w:id="45"/>
      <w:r>
        <w:rPr/>
        <w:t>ЗАКЛЮЧЕНИЕ</w:t>
      </w:r>
    </w:p>
    <w:p>
      <w:pPr>
        <w:pStyle w:val="Normal"/>
        <w:rPr>
          <w:lang w:val="ru-KG"/>
        </w:rPr>
      </w:pPr>
      <w:bookmarkStart w:id="46" w:name="__DdeLink__8872_4121217716_Copy_1"/>
      <w:bookmarkEnd w:id="46"/>
      <w:r>
        <w:rPr>
          <w:lang w:val="ru-KG"/>
        </w:rPr>
        <w:t>В ходе выполнения настоящей работы информационная система «SweezCustoms» была разработана и введена в эксплуатацию в соответствии с поставленными целями и задачами. Проведённые работы охватили все уровни архитектуры системы: серверную часть, схему базы данных и интеграцию внешних сервисов.</w:t>
      </w:r>
    </w:p>
    <w:p>
      <w:pPr>
        <w:pStyle w:val="Normal"/>
        <w:rPr>
          <w:lang w:val="ru-KG"/>
        </w:rPr>
      </w:pPr>
      <w:r>
        <w:rPr>
          <w:lang w:val="ru-KG"/>
        </w:rPr>
        <w:t>На первом этапе был реализован полноценный блок таможенных деклараций для юридических лиц. Система получила возможность создавать, редактировать и подавать декларации компаний с фиксацией реквизитов инвойса, условий поставки Incoterms, типа транспорта и привязки к контракту. Реализован полный жизненный цикл декларации от статуса DRAFT до финального решения инспектора, что обеспечивает прозрачность и контролируемость таможенного процесса для юридических лиц.</w:t>
      </w:r>
    </w:p>
    <w:p>
      <w:pPr>
        <w:pStyle w:val="Normal"/>
        <w:rPr>
          <w:lang w:val="ru-KG"/>
        </w:rPr>
      </w:pPr>
      <w:r>
        <w:rPr>
          <w:lang w:val="ru-KG"/>
        </w:rPr>
        <w:t>На втором этапе по аналогичному принципу разработана система деклараций для физических лиц с поддержкой указания способа доставки, номера отслеживания отправления и признака личного использования товара. Это позволило охватить широкую аудиторию пользователей платформы, включая граждан, получающих международные посылки.</w:t>
      </w:r>
    </w:p>
    <w:p>
      <w:pPr>
        <w:pStyle w:val="Normal"/>
        <w:rPr>
          <w:lang w:val="ru-KG"/>
        </w:rPr>
      </w:pPr>
      <w:r>
        <w:rPr>
          <w:lang w:val="ru-KG"/>
        </w:rPr>
        <w:t>На третьем этапе реализована специализированная подсистема таможенного оформления автомобилей с автоматическим расчётом таможенных платежей по стандарту ЕАЭС. Ключевым достижением является то, что таможенная пошлина, НДС и акциз исчисляются серверной частью в момент создания декларации без участия пользователя на основании технических характеристик транспортного средства. Для электромобилей предусмотрена льготная нулевая ставка, что соответствует актуальной политике стимулирования экологически чистого транспорта в рамках ЕАЭС.</w:t>
      </w:r>
    </w:p>
    <w:p>
      <w:pPr>
        <w:pStyle w:val="Normal"/>
        <w:rPr>
          <w:lang w:val="ru-KG"/>
        </w:rPr>
      </w:pPr>
      <w:r>
        <w:rPr>
          <w:lang w:val="ru-KG"/>
        </w:rPr>
        <w:t>На четвёртом этапе разработан механизм верификации компаний и документов. Инспектор получил специализированный интерфейс для просмотра компаний, ожидающих верификации, изучения загруженных документов и принятия решения об одобрении или отклонении. При каждом решении автоматически фиксируются идентификатор инспектора и временная метка, что обеспечивает полную прослеживаемость процесса верификации.</w:t>
      </w:r>
    </w:p>
    <w:p>
      <w:pPr>
        <w:pStyle w:val="Normal"/>
        <w:rPr>
          <w:lang w:val="ru-KG"/>
        </w:rPr>
      </w:pPr>
      <w:r>
        <w:rPr>
          <w:lang w:val="ru-KG"/>
        </w:rPr>
        <w:t>На пятом этапе реализована система управления персоналом компаний с ролевой моделью из восьми ролей. Владелец компании получил возможность добавлять сотрудников с назначением корпоративных ролей и отзывать их доступ, что позволяет гибко управлять правами участников в зависимости от их функций в бизнес-процессах.</w:t>
      </w:r>
    </w:p>
    <w:p>
      <w:pPr>
        <w:pStyle w:val="Normal"/>
        <w:rPr>
          <w:lang w:val="ru-KG"/>
        </w:rPr>
      </w:pPr>
      <w:r>
        <w:rPr>
          <w:lang w:val="ru-KG"/>
        </w:rPr>
        <w:t>Помимо перечисленных функциональных блоков, был реализован ряд компонентов, обеспечивающих инфраструктуру системы. Автоматическое формирование платёжного счёта при подаче декларации устраняет необходимость ручного расчёта таможенных платежей и гарантирует корректность выставляемых сумм. Справочник кодов ТН ВЭД обеспечивает стандартизированную классификацию товаров и автоматическое применение соответствующих ставок. Хранилище MinIO обеспечивает надёжное хранение всех пользовательских файлов и документов без нагрузки на реляционную базу данных. Система аутентификации на базе JWT с поддержкой refresh-токенов и восстановления пароля обеспечивает безопасный доступ к платформе. Интегрированный AI-ассистент Sweez AI на базе Mistral с персистентной памятью чата предоставляет пользователям круглосуточную поддержку по вопросам таможенного оформления.</w:t>
      </w:r>
    </w:p>
    <w:p>
      <w:pPr>
        <w:pStyle w:val="Normal"/>
        <w:rPr>
          <w:lang w:val="ru-KG"/>
        </w:rPr>
      </w:pPr>
      <w:r>
        <w:rPr>
          <w:lang w:val="ru-KG"/>
        </w:rPr>
        <w:t>Все реализованные компоненты подтверждены успешной компиляцией серверной части. Корректность межкомпонентного взаимодействия верифицирована функциональным тестированием через HTTP-клиент. Полученные результаты в полной мере соответствуют поставленным задачам и подтверждают достижение цели работы — разработку информационной системы автоматизации таможенного оформления, обеспечивающей цифровой документооборот, автоматический расчёт платежей и ролевое разграничение доступа для всех участников процесса.</w:t>
      </w:r>
    </w:p>
    <w:p>
      <w:pPr>
        <w:pStyle w:val="Normal"/>
        <w:rPr>
          <w:lang w:val="ru-KG"/>
        </w:rPr>
      </w:pPr>
      <w:r>
        <w:rPr>
          <w:lang w:val="ru-KG"/>
        </w:rPr>
        <w:t>Практическая значимость выполненной работы состоит в том, что разработанная система представляет собой готовую основу для развёртывания регионального сервиса цифрового таможенного оформления, способного объединить физических лиц, компании и таможенные органы Кыргызской Республики в едином защищённом информационном пространстве. Реализованная концепция единого цифрового окна, при которой участник внешнеэкономической деятельности является владельцем своих деклараций и самостоятельно управляет их жизненным циклом, соответствует современным международным стандартам в области цифровизации государственных услуг.</w:t>
      </w:r>
    </w:p>
    <w:p>
      <w:pPr>
        <w:pStyle w:val="Normal"/>
        <w:rPr>
          <w:lang w:val="ru-KG"/>
        </w:rPr>
      </w:pPr>
      <w:r>
        <w:rPr>
          <w:lang w:val="ru-KG"/>
        </w:rPr>
        <w:t>В качестве перспективных направлений дальнейшего развития системы можно выделить следующие. Во-первых, расширение аналитических возможностей за счёт формирования отчётов по динамике деклараций, объёмам таможенных платежей и показателям внешнеэкономической деятельности компаний. Во-вторых, интеграция с платёжными системами для автоматической фиксации оплаты таможенных счетов без ручного обновления статусов. В-третьих, разработка мобильного клиентского приложения для подачи деклараций и отслеживания их статуса в режиме реального времени. В-четвёртых, реализация интеграционных интерфейсов для автоматического обмена данными с государственными реестрами и системами таможенных органов Кыргызской Республики. Наконец, целесообразно рассмотреть внедрение системы push-уведомлений, информирующих участников об изменении статуса деклараций, приближении срока оплаты счёта и результатах верификации документов в режиме реального времени.</w:t>
      </w:r>
      <w:r>
        <w:br w:type="page"/>
      </w:r>
    </w:p>
    <w:p>
      <w:pPr>
        <w:pStyle w:val="Normal"/>
        <w:spacing w:before="0" w:after="0"/>
        <w:ind w:hanging="0"/>
        <w:jc w:val="center"/>
        <w:rPr>
          <w:b/>
          <w:bCs/>
          <w:lang w:val="en-US"/>
        </w:rPr>
      </w:pPr>
      <w:r>
        <w:rPr>
          <w:b/>
          <w:bCs/>
        </w:rPr>
        <w:t>СПИСОК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ИСПОЛЬЗОВАННОЙ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ЛИТЕРАТУРЫ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>1. Уоллс К. Spring в действии. 6-е издание. — М.: ДМК Пресс, 2023. — 544 с.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>2. Мартин Р. Чистый код: создание, анализ и рефакторинг. — СПб.: Питер, 2019. — 464 с.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>3. Гамма Э., Хелм Р., Джонсон Р., Влиссидес Дж. Паттерны объектно-ориентированного проектирования. — СПб.: Питер, 2020. — 448 с.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4. Spring Framework Documentation. — Режим доступа: </w:t>
      </w:r>
      <w:hyperlink r:id="rId2">
        <w:r>
          <w:rPr>
            <w:rStyle w:val="Hyperlink"/>
            <w:lang w:val="en-US"/>
          </w:rPr>
          <w:t>https://docs.spring.io/spring</w:t>
        </w:r>
      </w:hyperlink>
    </w:p>
    <w:p>
      <w:pPr>
        <w:pStyle w:val="Normal"/>
        <w:ind w:hanging="0"/>
        <w:rPr>
          <w:lang w:val="en-US"/>
        </w:rPr>
      </w:pPr>
      <w:r>
        <w:rPr>
          <w:lang w:val="en-US"/>
        </w:rPr>
        <w:t>-framework/docs/current/reference/html/ (дата обращения: 01.04.2025).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5.Spring Boot Reference Documentation. — Режим доступа: 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>https://docs.spring.io/spring-boot/docs/current/reference/html/ (дата обращения: 01.04.2025).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>6. Spring Data JPA Documentation. — Режим доступа: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https://docs.spring.io/spring-data/jpa/docs/current/reference/html/ (дата обращения: 05.04.2025).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>7. Fielding R. T. Architectural Styles and the Design of Network-based Software Architectures: doctoral dissertation. — University of California, Irvine, 2000.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>8. Flyway Documentation. — Режим доступа: https://documentation.red-gate.com/flyway (дата обращения: 05.04.2025).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>9. OpenAPI Specification 3.0. — Режим доступа: https://swagger.io/specification/ (дата обращения: 10.04.2025).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>10. Hibernate ORM Documentation 6.x. — Режим доступа: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>https://docs.jboss.org/hibernate/orm/6.0/userguide/html_single/Hibernate_User_Guide.html (дата обращения: 10.04.2025).</w:t>
      </w:r>
    </w:p>
    <w:p>
      <w:pPr>
        <w:pStyle w:val="Normal"/>
        <w:spacing w:before="0" w:after="120"/>
        <w:ind w:hanging="294" w:start="720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lineRule="auto" w:line="240"/>
        <w:ind w:hanging="0"/>
        <w:jc w:val="start"/>
        <w:rPr>
          <w:lang w:val="en-US"/>
        </w:rPr>
      </w:pPr>
      <w:r>
        <w:rPr>
          <w:lang w:val="en-US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7" w:right="850" w:gutter="0" w:header="708" w:top="850" w:footer="708" w:bottom="85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13190449"/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Times New Roman"/>
      <w:color w:val="000000"/>
      <w:kern w:val="2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84b6c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link w:val="2"/>
    <w:uiPriority w:val="9"/>
    <w:unhideWhenUsed/>
    <w:qFormat/>
    <w:rsid w:val="00036d3f"/>
    <w:pPr>
      <w:widowControl/>
      <w:suppressAutoHyphens w:val="true"/>
      <w:bidi w:val="0"/>
      <w:spacing w:before="240" w:after="160"/>
      <w:jc w:val="start"/>
      <w:outlineLvl w:val="1"/>
    </w:pPr>
    <w:rPr>
      <w:rFonts w:ascii="Times New Roman" w:hAnsi="Times New Roman" w:eastAsia="Times New Roman" w:cs="Times New Roman"/>
      <w:b/>
      <w:bCs/>
      <w:color w:val="000000"/>
      <w:kern w:val="0"/>
      <w:sz w:val="26"/>
      <w:szCs w:val="26"/>
      <w:lang w:val="ru-KG" w:eastAsia="ru-KG" w:bidi="ar-SA"/>
      <w14:ligatures w14:val="none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870e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Section" w:customStyle="1">
    <w:name w:val="HeadingSection Знак"/>
    <w:basedOn w:val="DefaultParagraphFont"/>
    <w:link w:val="HeadingSection1"/>
    <w:qFormat/>
    <w:rsid w:val="009803f3"/>
    <w:rPr>
      <w:rFonts w:ascii="Times New Roman" w:hAnsi="Times New Roman" w:cs="Times New Roman"/>
      <w:b/>
      <w:caps/>
      <w:color w:val="000000"/>
    </w:rPr>
  </w:style>
  <w:style w:type="character" w:styleId="HeadingSubsection" w:customStyle="1">
    <w:name w:val="HeadingSubsection Знак"/>
    <w:basedOn w:val="DefaultParagraphFont"/>
    <w:link w:val="HeadingSubsection1"/>
    <w:qFormat/>
    <w:rsid w:val="009803f3"/>
    <w:rPr>
      <w:rFonts w:ascii="Times New Roman" w:hAnsi="Times New Roman" w:cs="Times New Roman"/>
      <w:b/>
      <w:color w:val="000000"/>
    </w:rPr>
  </w:style>
  <w:style w:type="character" w:styleId="HeadingCentered" w:customStyle="1">
    <w:name w:val="HeadingCentered Знак"/>
    <w:basedOn w:val="DefaultParagraphFont"/>
    <w:link w:val="HeadingCentered1"/>
    <w:qFormat/>
    <w:rsid w:val="009803f3"/>
    <w:rPr>
      <w:rFonts w:ascii="Times New Roman" w:hAnsi="Times New Roman" w:cs="Times New Roman"/>
      <w:b/>
      <w:caps/>
      <w:color w:val="000000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sid w:val="009803f3"/>
    <w:rPr>
      <w:rFonts w:ascii="Times New Roman" w:hAnsi="Times New Roman" w:cs="Times New Roman"/>
      <w:color w:val="000000"/>
    </w:rPr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9803f3"/>
    <w:rPr>
      <w:rFonts w:ascii="Times New Roman" w:hAnsi="Times New Roman" w:cs="Times New Roman"/>
      <w:color w:val="000000"/>
    </w:rPr>
  </w:style>
  <w:style w:type="character" w:styleId="Hyperlink">
    <w:name w:val="Hyperlink"/>
    <w:uiPriority w:val="99"/>
    <w:unhideWhenUsed/>
    <w:rsid w:val="00701073"/>
    <w:rPr>
      <w:color w:val="0563C1"/>
      <w:u w:val="single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036d3f"/>
    <w:rPr>
      <w:rFonts w:ascii="Times New Roman" w:hAnsi="Times New Roman" w:eastAsia="Times New Roman" w:cs="Times New Roman"/>
      <w:b/>
      <w:bCs/>
      <w:color w:val="000000"/>
      <w:kern w:val="0"/>
      <w:sz w:val="26"/>
      <w:szCs w:val="26"/>
      <w:lang w:val="ru-KG" w:eastAsia="ru-KG"/>
      <w14:ligatures w14:val="none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870e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184b6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ingSection1" w:customStyle="1">
    <w:name w:val="HeadingSection"/>
    <w:basedOn w:val="Normal"/>
    <w:link w:val="HeadingSection"/>
    <w:qFormat/>
    <w:rsid w:val="009803f3"/>
    <w:pPr>
      <w:pageBreakBefore/>
      <w:jc w:val="start"/>
    </w:pPr>
    <w:rPr>
      <w:b/>
      <w:caps/>
    </w:rPr>
  </w:style>
  <w:style w:type="paragraph" w:styleId="HeadingSubsection1" w:customStyle="1">
    <w:name w:val="HeadingSubsection"/>
    <w:basedOn w:val="Normal"/>
    <w:link w:val="HeadingSubsection"/>
    <w:qFormat/>
    <w:rsid w:val="009803f3"/>
    <w:pPr>
      <w:jc w:val="start"/>
    </w:pPr>
    <w:rPr>
      <w:b/>
    </w:rPr>
  </w:style>
  <w:style w:type="paragraph" w:styleId="HeadingCentered1" w:customStyle="1">
    <w:name w:val="HeadingCentered"/>
    <w:basedOn w:val="Normal"/>
    <w:link w:val="HeadingCentered"/>
    <w:qFormat/>
    <w:rsid w:val="009803f3"/>
    <w:pPr>
      <w:pageBreakBefore/>
      <w:ind w:hanging="0"/>
      <w:jc w:val="center"/>
    </w:pPr>
    <w:rPr>
      <w:b/>
      <w:cap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9803f3"/>
    <w:pPr>
      <w:tabs>
        <w:tab w:val="clear" w:pos="709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2"/>
    <w:uiPriority w:val="99"/>
    <w:unhideWhenUsed/>
    <w:rsid w:val="009803f3"/>
    <w:pPr>
      <w:tabs>
        <w:tab w:val="clear" w:pos="709"/>
        <w:tab w:val="center" w:pos="4677" w:leader="none"/>
        <w:tab w:val="right" w:pos="9355" w:leader="none"/>
      </w:tabs>
      <w:spacing w:lineRule="auto" w:line="240"/>
    </w:pPr>
    <w:rPr/>
  </w:style>
  <w:style w:type="paragraph" w:styleId="NormalWeb">
    <w:name w:val="Normal (Web)"/>
    <w:basedOn w:val="Normal"/>
    <w:uiPriority w:val="99"/>
    <w:unhideWhenUsed/>
    <w:qFormat/>
    <w:rsid w:val="009803f3"/>
    <w:pPr>
      <w:spacing w:lineRule="auto" w:line="240" w:beforeAutospacing="1" w:afterAutospacing="1"/>
      <w:ind w:hanging="0"/>
      <w:jc w:val="start"/>
    </w:pPr>
    <w:rPr>
      <w:rFonts w:eastAsia="Times New Roman"/>
      <w:color w:val="auto"/>
      <w:kern w:val="0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b58be"/>
    <w:pPr>
      <w:tabs>
        <w:tab w:val="clear" w:pos="709"/>
        <w:tab w:val="right" w:pos="9072" w:leader="dot"/>
        <w:tab w:val="right" w:pos="9639" w:leader="dot"/>
      </w:tabs>
      <w:spacing w:lineRule="auto" w:line="240" w:before="0" w:after="100"/>
      <w:ind w:hanging="0"/>
      <w:jc w:val="start"/>
    </w:pPr>
    <w:rPr>
      <w:rFonts w:eastAsia="Times New Roman"/>
      <w:color w:val="auto"/>
      <w:kern w:val="0"/>
      <w:lang w:val="ru-KG" w:eastAsia="ru-KG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93ccf"/>
    <w:pPr>
      <w:tabs>
        <w:tab w:val="clear" w:pos="709"/>
        <w:tab w:val="right" w:pos="9072" w:leader="none"/>
        <w:tab w:val="right" w:pos="9639" w:leader="dot"/>
      </w:tabs>
      <w:spacing w:lineRule="auto" w:line="240" w:before="0" w:after="100"/>
      <w:ind w:hanging="0" w:start="240"/>
      <w:jc w:val="start"/>
    </w:pPr>
    <w:rPr>
      <w:rFonts w:eastAsia="Times New Roman"/>
      <w:color w:val="auto"/>
      <w:kern w:val="0"/>
      <w:lang w:val="ru-KG" w:eastAsia="ru-KG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01073"/>
    <w:pPr>
      <w:spacing w:lineRule="auto" w:line="240" w:before="0" w:after="100"/>
      <w:ind w:hanging="0" w:start="480"/>
      <w:jc w:val="start"/>
    </w:pPr>
    <w:rPr>
      <w:rFonts w:eastAsia="Times New Roman"/>
      <w:color w:val="auto"/>
      <w:kern w:val="0"/>
      <w:lang w:val="ru-KG" w:eastAsia="ru-KG"/>
      <w14:ligatures w14:val="none"/>
    </w:rPr>
  </w:style>
  <w:style w:type="paragraph" w:styleId="ListParagraph">
    <w:name w:val="List Paragraph"/>
    <w:qFormat/>
    <w:rsid w:val="00036d3f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KG" w:eastAsia="ru-KG" w:bidi="ar-SA"/>
      <w14:ligatures w14:val="none"/>
    </w:rPr>
  </w:style>
  <w:style w:type="paragraph" w:styleId="ListBullet">
    <w:name w:val="List Bullet"/>
    <w:basedOn w:val="Normal"/>
    <w:uiPriority w:val="99"/>
    <w:unhideWhenUsed/>
    <w:rsid w:val="00ea0fab"/>
    <w:pPr>
      <w:numPr>
        <w:ilvl w:val="0"/>
        <w:numId w:val="2"/>
      </w:numPr>
      <w:tabs>
        <w:tab w:val="clear" w:pos="709"/>
      </w:tabs>
      <w:spacing w:before="0" w:after="0"/>
      <w:ind w:hanging="0" w:start="0"/>
      <w:contextualSpacing/>
    </w:pPr>
    <w:rPr>
      <w:rFonts w:eastAsia="Times New Roman" w:cs="" w:cstheme="minorBidi"/>
      <w:color w:val="auto"/>
      <w:kern w:val="0"/>
      <w:sz w:val="28"/>
      <w:szCs w:val="22"/>
      <w:lang w:val="en-US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spring.io/spring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A40AC-DBEE-4D58-9440-5E624AF86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Application>LibreOffice/25.8.3.2$Linux_X86_64 LibreOffice_project/580$Build-2</Application>
  <AppVersion>15.0000</AppVersion>
  <Pages>23</Pages>
  <Words>4926</Words>
  <Characters>38012</Characters>
  <CharactersWithSpaces>42837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2026-06-19T08:02:00Z</dcterms:created>
  <dc:creator>Kanykei_K</dc:creator>
  <dc:description/>
  <dc:language>en-US</dc:language>
  <cp:lastModifiedBy/>
  <cp:lastPrinted>2026-06-19T23:34:49Z</cp:lastPrinted>
  <dcterms:modified xsi:type="dcterms:W3CDTF">2026-06-20T01:20:06Z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