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E768" w14:textId="77777777" w:rsidR="00BC6763" w:rsidRDefault="00D06A49" w:rsidP="000B42F7">
      <w:pPr>
        <w:ind w:right="0"/>
      </w:pPr>
      <w:r>
        <w:rPr>
          <w:b/>
          <w:noProof/>
        </w:rPr>
        <mc:AlternateContent>
          <mc:Choice Requires="wps">
            <w:drawing>
              <wp:anchor distT="0" distB="0" distL="114300" distR="114300" simplePos="0" relativeHeight="251657728" behindDoc="0" locked="0" layoutInCell="0" allowOverlap="1" wp14:anchorId="5F3869A4" wp14:editId="1239A899">
                <wp:simplePos x="0" y="0"/>
                <wp:positionH relativeFrom="column">
                  <wp:posOffset>548640</wp:posOffset>
                </wp:positionH>
                <wp:positionV relativeFrom="paragraph">
                  <wp:posOffset>335915</wp:posOffset>
                </wp:positionV>
                <wp:extent cx="5852160" cy="635"/>
                <wp:effectExtent l="0" t="0" r="2540" b="120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216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AD360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26.45pt" to="7in,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Y9zgEAAJwDAAAOAAAAZHJzL2Uyb0RvYy54bWysU02P0zAQvSPxHyzfadKgllXUdA+7LJcC&#10;lXb5AVPbaSxsj2W7TfrvGbsfsHBAQuRg2TPjN/OeX1b3kzXsqELU6Do+n9WcKSdQarfv+LeXp3d3&#10;nMUEToJBpzp+UpHfr9++WY2+VQ0OaKQKjEBcbEff8SEl31ZVFIOyEGfolaNkj8FComPYVzLASOjW&#10;VE1dL6sRg/QBhYqRoo/nJF8X/L5XIn3t+6gSMx2n2VJZQ1l3ea3WK2j3AfygxWUM+IcpLGhHTW9Q&#10;j5CAHYL+A8pqETBin2YCbYV9r4UqHIjNvP6NzfMAXhUuJE70N5ni/4MVX47bwLTseMOZA0tPtNFO&#10;sSYrM/rYUsGD24bMTUzu2W9QfI+Uq14l8yF6QtqNn1ESCBwSFkGmPth8maiyqeh+uumupsQEBRd3&#10;i2a+pOcRlFu+X+TeFbTXqz7E9EmhZXnTcUPzFWg4bmI6l15LcieHT9oYikNrHBvJlc2Hui43Ihot&#10;czYnY9jvHkxgR8jeKN+l8auygAcnC9qgQH50kqWTJ4aO/MwzfLScGUXup02pS6DN3+uIoHF5DlVs&#10;eqFyFfIs/g7laRsyxRwnCxRdLnbNHvv1XKp+/lTrHwAAAP//AwBQSwMEFAAGAAgAAAAhACwjZ4fg&#10;AAAADgEAAA8AAABkcnMvZG93bnJldi54bWxMj0FPwzAMhe9I/IfISNxYwmBT6ZpOo4g7jE1cs8a0&#10;hcSpmnQr/Hq8E1ws2c9+fl+xnrwTRxxiF0jD7UyBQKqD7ajRsHt7vslAxGTIGhcINXxjhHV5eVGY&#10;3IYTveJxmxrBJhRzo6FNqc+ljHWL3sRZ6JFY+wiDN4nboZF2MCc2907OlVpKbzriD63psWqx/tqO&#10;XkMf9u8vm0W1/+wfHY1Bqemn2ml9fTU9rbhsViASTunvAs4MnB9KDnYII9konIZsec+bGhbzBxBn&#10;XamMCQ88uVMgy0L+xyh/AQAA//8DAFBLAQItABQABgAIAAAAIQC2gziS/gAAAOEBAAATAAAAAAAA&#10;AAAAAAAAAAAAAABbQ29udGVudF9UeXBlc10ueG1sUEsBAi0AFAAGAAgAAAAhADj9If/WAAAAlAEA&#10;AAsAAAAAAAAAAAAAAAAALwEAAF9yZWxzLy5yZWxzUEsBAi0AFAAGAAgAAAAhAPKi1j3OAQAAnAMA&#10;AA4AAAAAAAAAAAAAAAAALgIAAGRycy9lMm9Eb2MueG1sUEsBAi0AFAAGAAgAAAAhACwjZ4fgAAAA&#10;DgEAAA8AAAAAAAAAAAAAAAAAKAQAAGRycy9kb3ducmV2LnhtbFBLBQYAAAAABAAEAPMAAAA1BQAA&#10;AAA=&#10;" o:allowincell="f" strokeweight="1pt">
                <v:stroke startarrowwidth="narrow" startarrowlength="short" endarrowwidth="narrow" endarrowlength="short"/>
                <o:lock v:ext="edit" shapetype="f"/>
              </v:line>
            </w:pict>
          </mc:Fallback>
        </mc:AlternateContent>
      </w:r>
      <w:r w:rsidR="00955FC8">
        <w:rPr>
          <w:noProof/>
        </w:rPr>
        <w:object w:dxaOrig="18540" w:dyaOrig="6680" w14:anchorId="4905BE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 style="width:167.1pt;height:1in;mso-width-percent:0;mso-height-percent:0;mso-width-percent:0;mso-height-percent:0" o:ole="">
            <v:imagedata r:id="rId8" o:title=""/>
          </v:shape>
          <o:OLEObject Type="Embed" ProgID="MS_ClipArt_Gallery" ShapeID="_x0000_i1041" DrawAspect="Content" ObjectID="_1728470967" r:id="rId9"/>
        </w:object>
      </w:r>
    </w:p>
    <w:p w14:paraId="42FB3D79" w14:textId="77777777" w:rsidR="00573458" w:rsidRDefault="00573458" w:rsidP="000B42F7">
      <w:pPr>
        <w:ind w:right="0"/>
      </w:pPr>
    </w:p>
    <w:p w14:paraId="3B7229BE" w14:textId="6C2603BA" w:rsidR="00573458" w:rsidRPr="00156B45" w:rsidRDefault="00671044" w:rsidP="000B42F7">
      <w:pPr>
        <w:ind w:right="0"/>
      </w:pPr>
      <w:r>
        <w:t>October 30</w:t>
      </w:r>
      <w:r w:rsidRPr="00671044">
        <w:rPr>
          <w:vertAlign w:val="superscript"/>
        </w:rPr>
        <w:t>th</w:t>
      </w:r>
      <w:r>
        <w:t>, 2022</w:t>
      </w:r>
    </w:p>
    <w:p w14:paraId="25B82F3F" w14:textId="77777777" w:rsidR="00573458" w:rsidRPr="00156B45" w:rsidRDefault="00573458" w:rsidP="000B42F7">
      <w:pPr>
        <w:ind w:right="0"/>
      </w:pPr>
    </w:p>
    <w:p w14:paraId="25F959D5" w14:textId="666A5769" w:rsidR="00BC6763" w:rsidRPr="00156B45" w:rsidRDefault="00BC6763" w:rsidP="000B42F7">
      <w:pPr>
        <w:ind w:right="0"/>
      </w:pPr>
      <w:r>
        <w:t xml:space="preserve">From: </w:t>
      </w:r>
      <w:r w:rsidR="00671044" w:rsidRPr="00671044">
        <w:t>Neil Sweigard</w:t>
      </w:r>
      <w:r>
        <w:rPr>
          <w:i/>
          <w:iCs/>
        </w:rPr>
        <w:t xml:space="preserve">, </w:t>
      </w:r>
      <w:r w:rsidRPr="00156B45">
        <w:t>Graduate Student Consultant</w:t>
      </w:r>
      <w:r w:rsidR="002F1A4D">
        <w:t>, Penn State University</w:t>
      </w:r>
    </w:p>
    <w:p w14:paraId="69F800F7" w14:textId="77777777" w:rsidR="00BC6763" w:rsidRDefault="00BC6763" w:rsidP="000B42F7">
      <w:pPr>
        <w:ind w:right="0"/>
      </w:pPr>
    </w:p>
    <w:p w14:paraId="6A49F399" w14:textId="7F2B2AEE" w:rsidR="00573458" w:rsidRPr="00671044" w:rsidRDefault="004969BE" w:rsidP="000B42F7">
      <w:pPr>
        <w:ind w:right="0"/>
      </w:pPr>
      <w:r>
        <w:t xml:space="preserve">To: </w:t>
      </w:r>
      <w:r w:rsidR="00671044">
        <w:t>How</w:t>
      </w:r>
      <w:r w:rsidR="002F1A4D">
        <w:t>ard</w:t>
      </w:r>
      <w:r w:rsidR="00671044">
        <w:t xml:space="preserve"> Roseman, </w:t>
      </w:r>
      <w:r w:rsidR="002F1A4D">
        <w:t>Executive Vice President and General Manager, Philadelphia Eagles</w:t>
      </w:r>
    </w:p>
    <w:p w14:paraId="321315B1" w14:textId="77777777" w:rsidR="004969BE" w:rsidRPr="00156B45" w:rsidRDefault="004969BE" w:rsidP="000B42F7">
      <w:pPr>
        <w:ind w:right="0"/>
      </w:pPr>
    </w:p>
    <w:p w14:paraId="2133EA5D" w14:textId="77777777" w:rsidR="00BB6E6D" w:rsidRDefault="00BB6E6D" w:rsidP="000B42F7">
      <w:pPr>
        <w:ind w:right="0"/>
      </w:pPr>
    </w:p>
    <w:p w14:paraId="5FB2BB10" w14:textId="62316924" w:rsidR="00BB6E6D" w:rsidRDefault="00BB6E6D" w:rsidP="000B42F7">
      <w:pPr>
        <w:ind w:right="0"/>
      </w:pPr>
      <w:r w:rsidRPr="00156B45">
        <w:t xml:space="preserve">PROJECT </w:t>
      </w:r>
      <w:r>
        <w:t>TITLE</w:t>
      </w:r>
      <w:r w:rsidR="00A6694B">
        <w:t>:</w:t>
      </w:r>
      <w:r w:rsidR="00BF2F04">
        <w:t xml:space="preserve"> The Philadelphia Eagles 2022 Solution at Quarterback</w:t>
      </w:r>
    </w:p>
    <w:p w14:paraId="66BF4760" w14:textId="77777777" w:rsidR="00BB6E6D" w:rsidRDefault="00BB6E6D" w:rsidP="000B42F7">
      <w:pPr>
        <w:ind w:right="0"/>
      </w:pPr>
    </w:p>
    <w:p w14:paraId="532223A9" w14:textId="77777777" w:rsidR="00865D65" w:rsidRDefault="00865D65" w:rsidP="000B42F7">
      <w:pPr>
        <w:ind w:right="0"/>
      </w:pPr>
    </w:p>
    <w:p w14:paraId="5FBEF8EA" w14:textId="77777777" w:rsidR="00E97CF4" w:rsidRPr="007942BF" w:rsidRDefault="00E97CF4" w:rsidP="000B42F7">
      <w:pPr>
        <w:pStyle w:val="Heading1"/>
        <w:ind w:right="0"/>
      </w:pPr>
      <w:r w:rsidRPr="007942BF">
        <w:t>EXECUTIVE SUMMARY</w:t>
      </w:r>
    </w:p>
    <w:p w14:paraId="3C5FFFC6" w14:textId="77777777" w:rsidR="00EB772F" w:rsidRDefault="00EB772F" w:rsidP="000B42F7">
      <w:pPr>
        <w:ind w:right="0"/>
        <w:rPr>
          <w:shd w:val="clear" w:color="auto" w:fill="FFFFFF"/>
        </w:rPr>
      </w:pPr>
    </w:p>
    <w:p w14:paraId="49E435CE" w14:textId="6802C392" w:rsidR="00EB772F" w:rsidRDefault="00EB772F" w:rsidP="000B42F7">
      <w:pPr>
        <w:ind w:right="0"/>
        <w:rPr>
          <w:shd w:val="clear" w:color="auto" w:fill="FFFFFF"/>
        </w:rPr>
      </w:pPr>
      <w:r w:rsidRPr="00EB772F">
        <w:rPr>
          <w:shd w:val="clear" w:color="auto" w:fill="FFFFFF"/>
        </w:rPr>
        <w:t>The executive summary should be able to stand alone from the rest of the report. It</w:t>
      </w:r>
      <w:r w:rsidR="00833A55">
        <w:rPr>
          <w:shd w:val="clear" w:color="auto" w:fill="FFFFFF"/>
        </w:rPr>
        <w:t xml:space="preserve"> should</w:t>
      </w:r>
      <w:r w:rsidRPr="00EB772F">
        <w:rPr>
          <w:shd w:val="clear" w:color="auto" w:fill="FFFFFF"/>
        </w:rPr>
        <w:t xml:space="preserve"> include a very brief introduction to the problem, with a concise summary of the results and conclusions. </w:t>
      </w:r>
    </w:p>
    <w:p w14:paraId="52F108BC" w14:textId="77777777" w:rsidR="00EB772F" w:rsidRDefault="00EB772F" w:rsidP="000B42F7">
      <w:pPr>
        <w:ind w:right="0"/>
        <w:rPr>
          <w:shd w:val="clear" w:color="auto" w:fill="FFFFFF"/>
        </w:rPr>
      </w:pPr>
    </w:p>
    <w:p w14:paraId="03E8F987" w14:textId="77777777" w:rsidR="00EB772F" w:rsidRPr="00EB772F" w:rsidRDefault="00EB772F" w:rsidP="000B42F7">
      <w:pPr>
        <w:ind w:right="0"/>
        <w:rPr>
          <w:sz w:val="20"/>
        </w:rPr>
      </w:pPr>
      <w:r>
        <w:rPr>
          <w:shd w:val="clear" w:color="auto" w:fill="FFFFFF"/>
        </w:rPr>
        <w:t>Perhaps this is what upper-level management would read, only.</w:t>
      </w:r>
    </w:p>
    <w:p w14:paraId="1BB972BB" w14:textId="77777777" w:rsidR="00BB6E6D" w:rsidRDefault="00BB6E6D" w:rsidP="000B42F7">
      <w:pPr>
        <w:ind w:right="0"/>
      </w:pPr>
    </w:p>
    <w:p w14:paraId="34733CBC" w14:textId="77777777" w:rsidR="00865D65" w:rsidRDefault="00865D65" w:rsidP="000B42F7">
      <w:pPr>
        <w:ind w:right="0"/>
      </w:pPr>
    </w:p>
    <w:p w14:paraId="43EDD91B" w14:textId="77777777" w:rsidR="00EB772F" w:rsidRDefault="00EB772F" w:rsidP="000B42F7">
      <w:pPr>
        <w:ind w:right="0"/>
      </w:pPr>
    </w:p>
    <w:p w14:paraId="2DF02BCE" w14:textId="77777777" w:rsidR="00F13889" w:rsidRDefault="00F13889" w:rsidP="000B42F7">
      <w:pPr>
        <w:ind w:right="0"/>
      </w:pPr>
      <w:r>
        <w:br w:type="page"/>
      </w:r>
    </w:p>
    <w:p w14:paraId="16AEAE5D" w14:textId="37009F68" w:rsidR="00156B45" w:rsidRPr="00156B45" w:rsidRDefault="00BB6E6D" w:rsidP="000B42F7">
      <w:pPr>
        <w:pStyle w:val="Heading1"/>
        <w:ind w:right="0"/>
      </w:pPr>
      <w:r>
        <w:lastRenderedPageBreak/>
        <w:t xml:space="preserve">1.0 - </w:t>
      </w:r>
      <w:r w:rsidR="00156B45" w:rsidRPr="00156B45">
        <w:t>PROJECT DESCRIPTION</w:t>
      </w:r>
    </w:p>
    <w:p w14:paraId="4663D930" w14:textId="77777777" w:rsidR="00156B45" w:rsidRPr="00156B45" w:rsidRDefault="00156B45" w:rsidP="000B42F7">
      <w:pPr>
        <w:ind w:right="0"/>
      </w:pPr>
    </w:p>
    <w:p w14:paraId="62D14E02" w14:textId="2A3DBFE7" w:rsidR="00F13889" w:rsidRPr="00D279F2" w:rsidRDefault="00F13889" w:rsidP="000B42F7">
      <w:pPr>
        <w:ind w:right="0"/>
      </w:pPr>
      <w:r w:rsidRPr="00D279F2">
        <w:t xml:space="preserve">NFL analysts expect the Eagles to have a strong roster in the 2022-2023 season, but there are uncertain expectations around how the starting quarterback Jalen Hurts should perform. The Eagles personnel department </w:t>
      </w:r>
      <w:r w:rsidR="00402ADA">
        <w:t>is</w:t>
      </w:r>
      <w:r w:rsidRPr="00D279F2">
        <w:t xml:space="preserve"> </w:t>
      </w:r>
      <w:r w:rsidR="009057E5" w:rsidRPr="00D279F2">
        <w:t xml:space="preserve">carefully </w:t>
      </w:r>
      <w:r w:rsidRPr="00D279F2">
        <w:t>evaluat</w:t>
      </w:r>
      <w:r w:rsidR="00402ADA">
        <w:t>ing</w:t>
      </w:r>
      <w:r w:rsidRPr="00D279F2">
        <w:t xml:space="preserve"> Hurts’ performance this year because his current rookie contract extends through 2023. The department will need to determine if he is a “Franchise Quarterback” that has a future with the team and is worth extending. If he is not the long-term solution, then the team will need to consider replacing him.</w:t>
      </w:r>
      <w:r w:rsidR="009057E5" w:rsidRPr="00D279F2">
        <w:t xml:space="preserve"> The team engaged the Consultant for an objective assessment of Hurts’ statistics and to predict his </w:t>
      </w:r>
      <w:r w:rsidR="00C76646">
        <w:t>potential as the long-term solution</w:t>
      </w:r>
      <w:r w:rsidR="009057E5" w:rsidRPr="00D279F2">
        <w:t>.</w:t>
      </w:r>
    </w:p>
    <w:p w14:paraId="1AFE26E7" w14:textId="23271CC7" w:rsidR="000F47ED" w:rsidRDefault="000F47ED" w:rsidP="000B42F7">
      <w:pPr>
        <w:ind w:right="0"/>
      </w:pPr>
    </w:p>
    <w:p w14:paraId="2E87B2E5" w14:textId="61D0BE53" w:rsidR="000F47ED" w:rsidRDefault="000F47ED" w:rsidP="000B42F7">
      <w:pPr>
        <w:ind w:right="0"/>
      </w:pPr>
      <w:r>
        <w:t xml:space="preserve">The Consultant leveraged the nflfastR R library that offers NFL play-by-play data from the 1999 until current games. The analysis filtered the data to players </w:t>
      </w:r>
      <w:r w:rsidR="00D279F2">
        <w:t>who</w:t>
      </w:r>
      <w:r>
        <w:t xml:space="preserve"> have been the primary passer, or the player </w:t>
      </w:r>
      <w:r w:rsidR="00D279F2">
        <w:t>that</w:t>
      </w:r>
      <w:r>
        <w:t xml:space="preserve"> threw the most passes for their team within a game, for at least as many games as Hurts. At the time of publishing this analysis, Hurts </w:t>
      </w:r>
      <w:r w:rsidR="00D279F2">
        <w:t>was</w:t>
      </w:r>
      <w:r>
        <w:t xml:space="preserve"> the primary passer in 26 games within the data. The project </w:t>
      </w:r>
      <w:r w:rsidR="00D279F2">
        <w:t xml:space="preserve">also required NFL draft data from the nflreadr R library to identify quarterbacks who have started their career in the year 1999 or later. </w:t>
      </w:r>
      <w:r w:rsidR="00984927">
        <w:t>Team-based statistics such as win ratio prior to the QB’s first primary start required additional schedule data combined from Pro Football Reference and nflreadr. Finally, the Consultant included contract data from nflreadr to support the research question around Hurts’ potential contract value.</w:t>
      </w:r>
    </w:p>
    <w:p w14:paraId="39A701A9" w14:textId="09B7D512" w:rsidR="00984927" w:rsidRDefault="00984927" w:rsidP="000B42F7">
      <w:pPr>
        <w:ind w:right="0"/>
      </w:pPr>
    </w:p>
    <w:p w14:paraId="6C75D732" w14:textId="09877AB2" w:rsidR="00984927" w:rsidRDefault="00984927" w:rsidP="000B42F7">
      <w:pPr>
        <w:ind w:right="0"/>
      </w:pPr>
      <w:r>
        <w:t>Preparation of the data enabled an observational study of 90 quarterbacks including Hurts. The study considered</w:t>
      </w:r>
      <w:r w:rsidR="002B243E">
        <w:t xml:space="preserve"> </w:t>
      </w:r>
      <w:r>
        <w:t xml:space="preserve">16 individual and team-based </w:t>
      </w:r>
      <w:r w:rsidR="00CF2419">
        <w:t xml:space="preserve">performance </w:t>
      </w:r>
      <w:r>
        <w:t xml:space="preserve">variables, outlined in </w:t>
      </w:r>
      <w:r w:rsidR="00D67032">
        <w:fldChar w:fldCharType="begin"/>
      </w:r>
      <w:r w:rsidR="00D67032">
        <w:instrText xml:space="preserve"> REF _Ref117623353 \h </w:instrText>
      </w:r>
      <w:r w:rsidR="00D67032">
        <w:fldChar w:fldCharType="separate"/>
      </w:r>
      <w:r w:rsidR="00D67032">
        <w:t>1.2 – VARIABLES OF INTEREST</w:t>
      </w:r>
      <w:r w:rsidR="00D67032">
        <w:fldChar w:fldCharType="end"/>
      </w:r>
      <w:r>
        <w:t>.</w:t>
      </w:r>
      <w:r w:rsidR="002B243E">
        <w:t xml:space="preserve"> The data preparation also normalized the variables to reflect each quarterback’s performance as of their 26</w:t>
      </w:r>
      <w:r w:rsidR="002B243E" w:rsidRPr="002B243E">
        <w:rPr>
          <w:vertAlign w:val="superscript"/>
        </w:rPr>
        <w:t>th</w:t>
      </w:r>
      <w:r w:rsidR="002B243E">
        <w:t xml:space="preserve"> game</w:t>
      </w:r>
      <w:r w:rsidR="00D67032">
        <w:t xml:space="preserve"> and only included the primary passer from each game</w:t>
      </w:r>
      <w:r w:rsidR="002B243E">
        <w:t xml:space="preserve"> to provide a fair comparison to Hurts at this point in his career. Several algorithms selected which predictive variables were most significant in predicting three response variables: one categorical variable to label a quarterback as a Franchise QB vs. not, and two continuous variables for contract value.</w:t>
      </w:r>
    </w:p>
    <w:p w14:paraId="5E29D3C2" w14:textId="77777777" w:rsidR="00B27C2A" w:rsidRPr="00156B45" w:rsidRDefault="00B27C2A" w:rsidP="000B42F7">
      <w:pPr>
        <w:ind w:left="0" w:right="0"/>
      </w:pPr>
    </w:p>
    <w:p w14:paraId="05ADAA3F" w14:textId="77777777" w:rsidR="00156B45" w:rsidRPr="00156B45" w:rsidRDefault="00156B45" w:rsidP="000B42F7">
      <w:pPr>
        <w:ind w:right="0"/>
      </w:pPr>
    </w:p>
    <w:p w14:paraId="7268F485" w14:textId="77777777" w:rsidR="00BB6E6D" w:rsidRPr="00156B45" w:rsidRDefault="00BB6E6D" w:rsidP="000B42F7">
      <w:pPr>
        <w:pStyle w:val="Heading1"/>
        <w:ind w:right="0"/>
      </w:pPr>
      <w:r>
        <w:t>1.1 - RESEARCH QUESTIONS</w:t>
      </w:r>
    </w:p>
    <w:p w14:paraId="3033799D" w14:textId="77777777" w:rsidR="00BB6E6D" w:rsidRDefault="00BB6E6D" w:rsidP="000B42F7">
      <w:pPr>
        <w:ind w:right="0"/>
      </w:pPr>
    </w:p>
    <w:p w14:paraId="41CD3641" w14:textId="280DAD13" w:rsidR="00BB6E6D" w:rsidRDefault="00BB6E6D" w:rsidP="000B42F7">
      <w:pPr>
        <w:ind w:right="0"/>
      </w:pPr>
      <w:r w:rsidRPr="00C76646">
        <w:rPr>
          <w:u w:val="single"/>
        </w:rPr>
        <w:t>Question 1</w:t>
      </w:r>
      <w:r w:rsidRPr="00156B45">
        <w:t>:</w:t>
      </w:r>
      <w:r>
        <w:t xml:space="preserve"> </w:t>
      </w:r>
      <w:r w:rsidR="00C76646">
        <w:t>What is the probability that Jalen Hurts will become a Franchise QB?</w:t>
      </w:r>
    </w:p>
    <w:p w14:paraId="5685568B" w14:textId="77777777" w:rsidR="00C76646" w:rsidRPr="00156B45" w:rsidRDefault="00C76646" w:rsidP="000B42F7">
      <w:pPr>
        <w:ind w:left="0" w:right="0"/>
      </w:pPr>
    </w:p>
    <w:p w14:paraId="78A73A9F" w14:textId="3A698B24" w:rsidR="00BB6E6D" w:rsidRDefault="00BB6E6D" w:rsidP="000B42F7">
      <w:pPr>
        <w:ind w:right="0"/>
      </w:pPr>
      <w:r w:rsidRPr="00C76646">
        <w:rPr>
          <w:u w:val="single"/>
        </w:rPr>
        <w:t>Question 2</w:t>
      </w:r>
      <w:r w:rsidRPr="00156B45">
        <w:t>:</w:t>
      </w:r>
      <w:r w:rsidR="00C76646">
        <w:t xml:space="preserve"> What would the annual contract value be for a quarterback of Jalen Hurts’ ability if they were to extend?</w:t>
      </w:r>
    </w:p>
    <w:p w14:paraId="72932FC3" w14:textId="139C30C5" w:rsidR="00C76646" w:rsidRDefault="00C76646" w:rsidP="000B42F7">
      <w:pPr>
        <w:ind w:right="0"/>
      </w:pPr>
    </w:p>
    <w:p w14:paraId="356464BA" w14:textId="40BB4395" w:rsidR="00EB772F" w:rsidRDefault="00C76646" w:rsidP="000B42F7">
      <w:pPr>
        <w:ind w:right="0"/>
      </w:pPr>
      <w:r w:rsidRPr="00C76646">
        <w:rPr>
          <w:u w:val="single"/>
        </w:rPr>
        <w:t>Question 3</w:t>
      </w:r>
      <w:r>
        <w:t>: How many years would a contract for a quarterback of Jalen Hurts’ ability extend?</w:t>
      </w:r>
    </w:p>
    <w:p w14:paraId="3C076860" w14:textId="77777777" w:rsidR="00B27C2A" w:rsidRPr="00156B45" w:rsidRDefault="00B27C2A" w:rsidP="000B42F7">
      <w:pPr>
        <w:ind w:left="0" w:right="0"/>
      </w:pPr>
    </w:p>
    <w:p w14:paraId="033C0983" w14:textId="6B1C936D" w:rsidR="00156B45" w:rsidRPr="003F5239" w:rsidRDefault="00156B45" w:rsidP="000B42F7">
      <w:pPr>
        <w:pStyle w:val="Heading1"/>
        <w:ind w:right="0"/>
      </w:pPr>
    </w:p>
    <w:p w14:paraId="3145A9E0" w14:textId="37F83447" w:rsidR="00BB6E6D" w:rsidRDefault="007B1A74" w:rsidP="000B42F7">
      <w:pPr>
        <w:pStyle w:val="Heading1"/>
        <w:ind w:right="0"/>
      </w:pPr>
      <w:bookmarkStart w:id="0" w:name="_Ref117621375"/>
      <w:bookmarkStart w:id="1" w:name="_Ref117623353"/>
      <w:r w:rsidRPr="003F5239">
        <w:t>1.</w:t>
      </w:r>
      <w:r w:rsidR="00C76646" w:rsidRPr="003F5239">
        <w:t>2</w:t>
      </w:r>
      <w:r w:rsidRPr="003F5239">
        <w:t xml:space="preserve"> </w:t>
      </w:r>
      <w:r w:rsidR="00B741B9" w:rsidRPr="003F5239">
        <w:t>–</w:t>
      </w:r>
      <w:r w:rsidRPr="003F5239">
        <w:t xml:space="preserve"> VARIABLES</w:t>
      </w:r>
      <w:bookmarkEnd w:id="0"/>
      <w:r w:rsidR="00D67032" w:rsidRPr="003F5239">
        <w:t xml:space="preserve"> OF INTEREST</w:t>
      </w:r>
      <w:bookmarkEnd w:id="1"/>
    </w:p>
    <w:p w14:paraId="47FA490E" w14:textId="67D17FF1" w:rsidR="007942BF" w:rsidRDefault="007942BF" w:rsidP="000B42F7">
      <w:pPr>
        <w:ind w:right="0"/>
      </w:pPr>
    </w:p>
    <w:p w14:paraId="0081B643" w14:textId="6E69D39E" w:rsidR="007942BF" w:rsidRDefault="007942BF" w:rsidP="000B42F7">
      <w:pPr>
        <w:pStyle w:val="Caption"/>
        <w:ind w:right="0"/>
      </w:pPr>
      <w:bookmarkStart w:id="2" w:name="_Ref117855308"/>
      <w:r>
        <w:t xml:space="preserve">Table </w:t>
      </w:r>
      <w:r w:rsidR="00000000">
        <w:fldChar w:fldCharType="begin"/>
      </w:r>
      <w:r w:rsidR="00000000">
        <w:instrText xml:space="preserve"> SEQ Table \* ARABIC </w:instrText>
      </w:r>
      <w:r w:rsidR="00000000">
        <w:fldChar w:fldCharType="separate"/>
      </w:r>
      <w:r w:rsidR="00E02EAD">
        <w:rPr>
          <w:noProof/>
        </w:rPr>
        <w:t>1</w:t>
      </w:r>
      <w:r w:rsidR="00000000">
        <w:rPr>
          <w:noProof/>
        </w:rPr>
        <w:fldChar w:fldCharType="end"/>
      </w:r>
      <w:bookmarkEnd w:id="2"/>
      <w:r>
        <w:t>. Predictor Variables</w:t>
      </w:r>
    </w:p>
    <w:tbl>
      <w:tblPr>
        <w:tblStyle w:val="TableGrid"/>
        <w:tblW w:w="0" w:type="auto"/>
        <w:tblInd w:w="720" w:type="dxa"/>
        <w:tblLook w:val="04A0" w:firstRow="1" w:lastRow="0" w:firstColumn="1" w:lastColumn="0" w:noHBand="0" w:noVBand="1"/>
      </w:tblPr>
      <w:tblGrid>
        <w:gridCol w:w="1705"/>
        <w:gridCol w:w="1940"/>
        <w:gridCol w:w="5705"/>
      </w:tblGrid>
      <w:tr w:rsidR="00D67032" w14:paraId="7C231785" w14:textId="77777777" w:rsidTr="006A2B23">
        <w:tc>
          <w:tcPr>
            <w:tcW w:w="1705" w:type="dxa"/>
          </w:tcPr>
          <w:p w14:paraId="5F4A4FEB" w14:textId="52A5837E" w:rsidR="00D67032" w:rsidRPr="00D67032" w:rsidRDefault="00D67032" w:rsidP="000B42F7">
            <w:pPr>
              <w:ind w:left="0" w:right="0"/>
              <w:rPr>
                <w:b/>
                <w:bCs/>
              </w:rPr>
            </w:pPr>
            <w:r w:rsidRPr="00D67032">
              <w:rPr>
                <w:b/>
                <w:bCs/>
              </w:rPr>
              <w:t>Variable Name</w:t>
            </w:r>
          </w:p>
        </w:tc>
        <w:tc>
          <w:tcPr>
            <w:tcW w:w="1940" w:type="dxa"/>
          </w:tcPr>
          <w:p w14:paraId="40E8C569" w14:textId="7A9C1013" w:rsidR="00D67032" w:rsidRPr="00D67032" w:rsidRDefault="00D67032" w:rsidP="000B42F7">
            <w:pPr>
              <w:ind w:left="0" w:right="0"/>
              <w:rPr>
                <w:b/>
                <w:bCs/>
              </w:rPr>
            </w:pPr>
            <w:r w:rsidRPr="00D67032">
              <w:rPr>
                <w:b/>
                <w:bCs/>
              </w:rPr>
              <w:t>Category</w:t>
            </w:r>
          </w:p>
        </w:tc>
        <w:tc>
          <w:tcPr>
            <w:tcW w:w="5705" w:type="dxa"/>
          </w:tcPr>
          <w:p w14:paraId="3CEA1B38" w14:textId="68FA9F84" w:rsidR="00D67032" w:rsidRPr="00D67032" w:rsidRDefault="00D67032" w:rsidP="000B42F7">
            <w:pPr>
              <w:ind w:left="0" w:right="0"/>
              <w:rPr>
                <w:b/>
                <w:bCs/>
              </w:rPr>
            </w:pPr>
            <w:r w:rsidRPr="00D67032">
              <w:rPr>
                <w:b/>
                <w:bCs/>
              </w:rPr>
              <w:t>Description</w:t>
            </w:r>
          </w:p>
        </w:tc>
      </w:tr>
      <w:tr w:rsidR="00D67032" w14:paraId="4B5413FD" w14:textId="77777777" w:rsidTr="006A2B23">
        <w:tc>
          <w:tcPr>
            <w:tcW w:w="1705" w:type="dxa"/>
            <w:noWrap/>
          </w:tcPr>
          <w:p w14:paraId="694A43E6" w14:textId="6DD9498F" w:rsidR="00D67032" w:rsidRDefault="00D67032" w:rsidP="000B42F7">
            <w:pPr>
              <w:ind w:left="0" w:right="0"/>
              <w:jc w:val="left"/>
            </w:pPr>
            <w:r>
              <w:t xml:space="preserve">Days to </w:t>
            </w:r>
            <w:r w:rsidR="00831605">
              <w:t>a</w:t>
            </w:r>
            <w:r>
              <w:t>Hurts Game</w:t>
            </w:r>
          </w:p>
        </w:tc>
        <w:tc>
          <w:tcPr>
            <w:tcW w:w="1940" w:type="dxa"/>
          </w:tcPr>
          <w:p w14:paraId="611BAEB0" w14:textId="3D994F52" w:rsidR="00D67032" w:rsidRDefault="00D67032" w:rsidP="000B42F7">
            <w:pPr>
              <w:ind w:left="0" w:right="0"/>
            </w:pPr>
            <w:r>
              <w:t>Individual Performance</w:t>
            </w:r>
          </w:p>
        </w:tc>
        <w:tc>
          <w:tcPr>
            <w:tcW w:w="5705" w:type="dxa"/>
          </w:tcPr>
          <w:p w14:paraId="7E09717F" w14:textId="1BCA9BB5" w:rsidR="00D67032" w:rsidRDefault="00D67032" w:rsidP="000B42F7">
            <w:pPr>
              <w:ind w:left="0" w:right="0"/>
            </w:pPr>
            <w:r>
              <w:t>The number of calendar days between the quarterback’s first game as primary passer until their 26</w:t>
            </w:r>
            <w:r w:rsidRPr="00D67032">
              <w:rPr>
                <w:vertAlign w:val="superscript"/>
              </w:rPr>
              <w:t>th</w:t>
            </w:r>
            <w:r>
              <w:t xml:space="preserve"> game.</w:t>
            </w:r>
          </w:p>
        </w:tc>
      </w:tr>
      <w:tr w:rsidR="00D67032" w14:paraId="36EAACDB" w14:textId="77777777" w:rsidTr="006A2B23">
        <w:tc>
          <w:tcPr>
            <w:tcW w:w="1705" w:type="dxa"/>
            <w:noWrap/>
          </w:tcPr>
          <w:p w14:paraId="7D881E96" w14:textId="32277438" w:rsidR="00D67032" w:rsidRDefault="00D67032" w:rsidP="000B42F7">
            <w:pPr>
              <w:ind w:left="0" w:right="0"/>
              <w:jc w:val="left"/>
            </w:pPr>
            <w:r>
              <w:lastRenderedPageBreak/>
              <w:t>EPA per Play</w:t>
            </w:r>
          </w:p>
        </w:tc>
        <w:tc>
          <w:tcPr>
            <w:tcW w:w="1940" w:type="dxa"/>
          </w:tcPr>
          <w:p w14:paraId="6A0A5D9F" w14:textId="791B452E" w:rsidR="00D67032" w:rsidRDefault="006A2B23" w:rsidP="000B42F7">
            <w:pPr>
              <w:ind w:left="0" w:right="0"/>
            </w:pPr>
            <w:r>
              <w:t xml:space="preserve">Advanced </w:t>
            </w:r>
            <w:r w:rsidR="00D67032">
              <w:t>Individual Performance</w:t>
            </w:r>
          </w:p>
        </w:tc>
        <w:tc>
          <w:tcPr>
            <w:tcW w:w="5705" w:type="dxa"/>
          </w:tcPr>
          <w:p w14:paraId="2AB683CA" w14:textId="4F97E868" w:rsidR="00D67032" w:rsidRDefault="00D67032" w:rsidP="000B42F7">
            <w:pPr>
              <w:ind w:left="0" w:right="0"/>
            </w:pPr>
            <w:r>
              <w:t xml:space="preserve">The mean expected points added (EPA) per play. </w:t>
            </w:r>
            <w:r w:rsidR="006A2B23">
              <w:t xml:space="preserve">QB </w:t>
            </w:r>
            <w:r>
              <w:t>EPA is the difference in the expected points at the start and end of a play</w:t>
            </w:r>
            <w:r w:rsidR="006A2B23">
              <w:t>. This does not penalize QBs for mistakes they are not at fault for, such as a receiver fumbling.</w:t>
            </w:r>
          </w:p>
        </w:tc>
      </w:tr>
      <w:tr w:rsidR="00D67032" w14:paraId="739EEF67" w14:textId="77777777" w:rsidTr="006A2B23">
        <w:tc>
          <w:tcPr>
            <w:tcW w:w="1705" w:type="dxa"/>
            <w:noWrap/>
          </w:tcPr>
          <w:p w14:paraId="3D869F2C" w14:textId="1533344C" w:rsidR="00D67032" w:rsidRDefault="00D67032" w:rsidP="000B42F7">
            <w:pPr>
              <w:ind w:left="0" w:right="0"/>
              <w:jc w:val="left"/>
            </w:pPr>
            <w:r>
              <w:t>Fumbles per Attempt</w:t>
            </w:r>
          </w:p>
        </w:tc>
        <w:tc>
          <w:tcPr>
            <w:tcW w:w="1940" w:type="dxa"/>
          </w:tcPr>
          <w:p w14:paraId="70952742" w14:textId="55B7D2D1" w:rsidR="00D67032" w:rsidRDefault="006A2B23" w:rsidP="000B42F7">
            <w:pPr>
              <w:ind w:left="0" w:right="0"/>
            </w:pPr>
            <w:r>
              <w:t>Individual Performance</w:t>
            </w:r>
          </w:p>
        </w:tc>
        <w:tc>
          <w:tcPr>
            <w:tcW w:w="5705" w:type="dxa"/>
          </w:tcPr>
          <w:p w14:paraId="25100BBC" w14:textId="259AF608" w:rsidR="00D67032" w:rsidRDefault="006A2B23" w:rsidP="000B42F7">
            <w:pPr>
              <w:ind w:left="0" w:right="0"/>
            </w:pPr>
            <w:r>
              <w:t>The number of fumbles</w:t>
            </w:r>
            <w:r w:rsidR="00F31569">
              <w:t xml:space="preserve"> the QB was responsible for</w:t>
            </w:r>
            <w:r>
              <w:t xml:space="preserve"> divided by the number of plays that the quarterback was the passer or rusher.</w:t>
            </w:r>
          </w:p>
        </w:tc>
      </w:tr>
      <w:tr w:rsidR="006A2B23" w14:paraId="6221EB01" w14:textId="77777777" w:rsidTr="006A2B23">
        <w:tc>
          <w:tcPr>
            <w:tcW w:w="1705" w:type="dxa"/>
            <w:noWrap/>
          </w:tcPr>
          <w:p w14:paraId="1E914339" w14:textId="6C4ED101" w:rsidR="006A2B23" w:rsidRDefault="006A2B23" w:rsidP="000B42F7">
            <w:pPr>
              <w:ind w:left="0" w:right="0"/>
              <w:jc w:val="left"/>
            </w:pPr>
            <w:r>
              <w:t>Interceptions per attempt</w:t>
            </w:r>
          </w:p>
        </w:tc>
        <w:tc>
          <w:tcPr>
            <w:tcW w:w="1940" w:type="dxa"/>
          </w:tcPr>
          <w:p w14:paraId="45CCAD03" w14:textId="22D80B1F" w:rsidR="006A2B23" w:rsidRDefault="006A2B23" w:rsidP="000B42F7">
            <w:pPr>
              <w:ind w:left="0" w:right="0"/>
            </w:pPr>
            <w:r>
              <w:t>Individual Performance</w:t>
            </w:r>
          </w:p>
        </w:tc>
        <w:tc>
          <w:tcPr>
            <w:tcW w:w="5705" w:type="dxa"/>
          </w:tcPr>
          <w:p w14:paraId="5816149F" w14:textId="7DC54330" w:rsidR="006A2B23" w:rsidRDefault="006A2B23" w:rsidP="000B42F7">
            <w:pPr>
              <w:ind w:left="0" w:right="0"/>
            </w:pPr>
            <w:r>
              <w:t xml:space="preserve">The number of interceptions </w:t>
            </w:r>
            <w:r w:rsidR="00F31569">
              <w:t xml:space="preserve">the QB threw </w:t>
            </w:r>
            <w:r>
              <w:t>divided by the number of plays that the quarterback was the passer.</w:t>
            </w:r>
          </w:p>
        </w:tc>
      </w:tr>
      <w:tr w:rsidR="006A2B23" w14:paraId="0A7CEA2A" w14:textId="77777777" w:rsidTr="006A2B23">
        <w:tc>
          <w:tcPr>
            <w:tcW w:w="1705" w:type="dxa"/>
            <w:noWrap/>
          </w:tcPr>
          <w:p w14:paraId="17652538" w14:textId="24718C3F" w:rsidR="006A2B23" w:rsidRDefault="006A2B23" w:rsidP="000B42F7">
            <w:pPr>
              <w:ind w:left="0" w:right="0"/>
              <w:jc w:val="left"/>
            </w:pPr>
            <w:r>
              <w:t>Mean Completion Percentage Over Expected</w:t>
            </w:r>
            <w:r w:rsidR="003B1AD6">
              <w:t xml:space="preserve"> (CPOE)</w:t>
            </w:r>
          </w:p>
        </w:tc>
        <w:tc>
          <w:tcPr>
            <w:tcW w:w="1940" w:type="dxa"/>
          </w:tcPr>
          <w:p w14:paraId="1E51872C" w14:textId="3E22A8F7" w:rsidR="006A2B23" w:rsidRDefault="006A2B23" w:rsidP="000B42F7">
            <w:pPr>
              <w:ind w:left="0" w:right="0"/>
            </w:pPr>
            <w:r>
              <w:t>Advanced Individual Performance</w:t>
            </w:r>
          </w:p>
        </w:tc>
        <w:tc>
          <w:tcPr>
            <w:tcW w:w="5705" w:type="dxa"/>
          </w:tcPr>
          <w:p w14:paraId="38BB74CF" w14:textId="000B6D16" w:rsidR="006A2B23" w:rsidRDefault="006A2B23" w:rsidP="000B42F7">
            <w:pPr>
              <w:ind w:left="0" w:right="0"/>
            </w:pPr>
            <w:r>
              <w:t>The Actual Completion Percentage minus the Expected Completion Percentage. Only available for the 2006 season and after.</w:t>
            </w:r>
            <w:r w:rsidR="00ED1B26">
              <w:t xml:space="preserve"> Explanation behind Expected Completion Percentage available in </w:t>
            </w:r>
            <w:r w:rsidR="00ED1B26">
              <w:fldChar w:fldCharType="begin"/>
            </w:r>
            <w:r w:rsidR="00ED1B26">
              <w:instrText xml:space="preserve"> REF _Ref117624535 \h </w:instrText>
            </w:r>
            <w:r w:rsidR="00ED1B26">
              <w:fldChar w:fldCharType="separate"/>
            </w:r>
            <w:r w:rsidR="00ED1B26">
              <w:t>Appendix A: Predictors Included in Expected Completion %</w:t>
            </w:r>
            <w:r w:rsidR="00ED1B26">
              <w:fldChar w:fldCharType="end"/>
            </w:r>
            <w:r w:rsidR="00ED1B26">
              <w:t>.</w:t>
            </w:r>
          </w:p>
        </w:tc>
      </w:tr>
      <w:tr w:rsidR="003B1AD6" w14:paraId="1BE03743" w14:textId="77777777" w:rsidTr="006A2B23">
        <w:tc>
          <w:tcPr>
            <w:tcW w:w="1705" w:type="dxa"/>
            <w:noWrap/>
          </w:tcPr>
          <w:p w14:paraId="43076236" w14:textId="1F86320F" w:rsidR="003B1AD6" w:rsidRDefault="003B1AD6" w:rsidP="000B42F7">
            <w:pPr>
              <w:ind w:left="0" w:right="0"/>
              <w:jc w:val="left"/>
            </w:pPr>
            <w:r>
              <w:t>Net Point Differential Change</w:t>
            </w:r>
          </w:p>
        </w:tc>
        <w:tc>
          <w:tcPr>
            <w:tcW w:w="1940" w:type="dxa"/>
          </w:tcPr>
          <w:p w14:paraId="0D4F7C06" w14:textId="39696129" w:rsidR="003B1AD6" w:rsidRDefault="003B1AD6" w:rsidP="000B42F7">
            <w:pPr>
              <w:ind w:left="0" w:right="0"/>
            </w:pPr>
            <w:r>
              <w:t>Team Performance</w:t>
            </w:r>
          </w:p>
        </w:tc>
        <w:tc>
          <w:tcPr>
            <w:tcW w:w="5705" w:type="dxa"/>
          </w:tcPr>
          <w:p w14:paraId="3D55B3D1" w14:textId="213A05C3" w:rsidR="003B1AD6" w:rsidRDefault="003B1AD6" w:rsidP="000B42F7">
            <w:pPr>
              <w:ind w:left="0" w:right="0"/>
            </w:pPr>
            <w:r>
              <w:t>The mean point differential (a team’s final score minus the opposing team’s final score for a given game) for the QB subtracted by the mean point differential for the 26 games prior to the QB’s first game as a primary passer.</w:t>
            </w:r>
          </w:p>
        </w:tc>
      </w:tr>
      <w:tr w:rsidR="003B1AD6" w14:paraId="220B7C1D" w14:textId="77777777" w:rsidTr="006A2B23">
        <w:tc>
          <w:tcPr>
            <w:tcW w:w="1705" w:type="dxa"/>
            <w:noWrap/>
          </w:tcPr>
          <w:p w14:paraId="0B184255" w14:textId="72C5961B" w:rsidR="003B1AD6" w:rsidRDefault="003B1AD6" w:rsidP="000B42F7">
            <w:pPr>
              <w:ind w:left="0" w:right="0"/>
              <w:jc w:val="left"/>
            </w:pPr>
            <w:r>
              <w:t>Net Win Percentage Change</w:t>
            </w:r>
          </w:p>
        </w:tc>
        <w:tc>
          <w:tcPr>
            <w:tcW w:w="1940" w:type="dxa"/>
          </w:tcPr>
          <w:p w14:paraId="3CB578E4" w14:textId="5D4EACD3" w:rsidR="003B1AD6" w:rsidRDefault="003B1AD6" w:rsidP="000B42F7">
            <w:pPr>
              <w:ind w:left="0" w:right="0"/>
            </w:pPr>
            <w:r>
              <w:t>Team Performance</w:t>
            </w:r>
          </w:p>
        </w:tc>
        <w:tc>
          <w:tcPr>
            <w:tcW w:w="5705" w:type="dxa"/>
          </w:tcPr>
          <w:p w14:paraId="18EB9DA5" w14:textId="6BAFCB67" w:rsidR="003B1AD6" w:rsidRDefault="003B1AD6" w:rsidP="000B42F7">
            <w:pPr>
              <w:ind w:left="0" w:right="0"/>
            </w:pPr>
            <w:r>
              <w:t>The number of games the quarterback’s team won divided by 26, subtracted by the number of games the team won in the 26 games prior to the QB’s first game as primary passer divided by 26.</w:t>
            </w:r>
          </w:p>
        </w:tc>
      </w:tr>
      <w:tr w:rsidR="00365299" w14:paraId="716AD510" w14:textId="77777777" w:rsidTr="006A2B23">
        <w:tc>
          <w:tcPr>
            <w:tcW w:w="1705" w:type="dxa"/>
            <w:noWrap/>
          </w:tcPr>
          <w:p w14:paraId="4CCAB212" w14:textId="3F596A9F" w:rsidR="00365299" w:rsidRDefault="00365299" w:rsidP="000B42F7">
            <w:pPr>
              <w:ind w:left="0" w:right="0"/>
              <w:jc w:val="left"/>
            </w:pPr>
            <w:r>
              <w:t>Passing Completion Percentage</w:t>
            </w:r>
          </w:p>
        </w:tc>
        <w:tc>
          <w:tcPr>
            <w:tcW w:w="1940" w:type="dxa"/>
          </w:tcPr>
          <w:p w14:paraId="171E32EF" w14:textId="6593900D" w:rsidR="00365299" w:rsidRDefault="00365299" w:rsidP="000B42F7">
            <w:pPr>
              <w:ind w:left="0" w:right="0"/>
            </w:pPr>
            <w:r>
              <w:t>Individual Performance</w:t>
            </w:r>
          </w:p>
        </w:tc>
        <w:tc>
          <w:tcPr>
            <w:tcW w:w="5705" w:type="dxa"/>
          </w:tcPr>
          <w:p w14:paraId="7C94BEDB" w14:textId="6C31655C" w:rsidR="00365299" w:rsidRDefault="00365299" w:rsidP="000B42F7">
            <w:pPr>
              <w:ind w:left="0" w:right="0"/>
            </w:pPr>
            <w:r>
              <w:t xml:space="preserve">The number of passes successfully caught by a receiver on the same team divided by the number of passes </w:t>
            </w:r>
            <w:r w:rsidR="00570E36">
              <w:t>the QB attempted</w:t>
            </w:r>
            <w:r>
              <w:t>.</w:t>
            </w:r>
          </w:p>
        </w:tc>
      </w:tr>
      <w:tr w:rsidR="00570E36" w14:paraId="732D4284" w14:textId="77777777" w:rsidTr="006A2B23">
        <w:tc>
          <w:tcPr>
            <w:tcW w:w="1705" w:type="dxa"/>
            <w:noWrap/>
          </w:tcPr>
          <w:p w14:paraId="58C01883" w14:textId="4FA63808" w:rsidR="00570E36" w:rsidRDefault="00570E36" w:rsidP="000B42F7">
            <w:pPr>
              <w:ind w:left="0" w:right="0"/>
              <w:jc w:val="left"/>
            </w:pPr>
            <w:r>
              <w:t>Passing Yards per Attempt</w:t>
            </w:r>
          </w:p>
        </w:tc>
        <w:tc>
          <w:tcPr>
            <w:tcW w:w="1940" w:type="dxa"/>
          </w:tcPr>
          <w:p w14:paraId="5C792C62" w14:textId="50DD03C9" w:rsidR="00570E36" w:rsidRDefault="00570E36" w:rsidP="000B42F7">
            <w:pPr>
              <w:ind w:left="0" w:right="0"/>
            </w:pPr>
            <w:r>
              <w:t>Individual Performance</w:t>
            </w:r>
          </w:p>
        </w:tc>
        <w:tc>
          <w:tcPr>
            <w:tcW w:w="5705" w:type="dxa"/>
          </w:tcPr>
          <w:p w14:paraId="2FA8A0CA" w14:textId="6FA1F761" w:rsidR="00570E36" w:rsidRDefault="00570E36" w:rsidP="000B42F7">
            <w:pPr>
              <w:ind w:left="0" w:right="0"/>
            </w:pPr>
            <w:r>
              <w:t>The total passing yards divided by the number of passes the QB attempted.</w:t>
            </w:r>
          </w:p>
        </w:tc>
      </w:tr>
      <w:tr w:rsidR="00570E36" w14:paraId="70F1B624" w14:textId="77777777" w:rsidTr="006A2B23">
        <w:tc>
          <w:tcPr>
            <w:tcW w:w="1705" w:type="dxa"/>
            <w:noWrap/>
          </w:tcPr>
          <w:p w14:paraId="12B921E3" w14:textId="55DFCED1" w:rsidR="00570E36" w:rsidRDefault="00570E36" w:rsidP="000B42F7">
            <w:pPr>
              <w:ind w:left="0" w:right="0"/>
              <w:jc w:val="left"/>
            </w:pPr>
            <w:r>
              <w:t>Primary Passing TDs per Game</w:t>
            </w:r>
          </w:p>
        </w:tc>
        <w:tc>
          <w:tcPr>
            <w:tcW w:w="1940" w:type="dxa"/>
          </w:tcPr>
          <w:p w14:paraId="6355B6F6" w14:textId="01588994" w:rsidR="00570E36" w:rsidRDefault="00570E36" w:rsidP="000B42F7">
            <w:pPr>
              <w:ind w:left="0" w:right="0"/>
            </w:pPr>
            <w:r>
              <w:t>Individual Performance</w:t>
            </w:r>
          </w:p>
        </w:tc>
        <w:tc>
          <w:tcPr>
            <w:tcW w:w="5705" w:type="dxa"/>
          </w:tcPr>
          <w:p w14:paraId="6A58EFBB" w14:textId="402187D5" w:rsidR="00570E36" w:rsidRDefault="00570E36" w:rsidP="000B42F7">
            <w:pPr>
              <w:ind w:left="0" w:right="0"/>
            </w:pPr>
            <w:r>
              <w:t>The total passing touchdowns divided by the number of games the QB played as primary passer.</w:t>
            </w:r>
          </w:p>
        </w:tc>
      </w:tr>
      <w:tr w:rsidR="00570E36" w14:paraId="08309EB0" w14:textId="77777777" w:rsidTr="006A2B23">
        <w:tc>
          <w:tcPr>
            <w:tcW w:w="1705" w:type="dxa"/>
            <w:noWrap/>
          </w:tcPr>
          <w:p w14:paraId="278E8A36" w14:textId="4304BFE6" w:rsidR="00570E36" w:rsidRDefault="00570E36" w:rsidP="000B42F7">
            <w:pPr>
              <w:ind w:left="0" w:right="0"/>
              <w:jc w:val="left"/>
            </w:pPr>
            <w:r>
              <w:t>Primary Rushing TDs per game</w:t>
            </w:r>
          </w:p>
        </w:tc>
        <w:tc>
          <w:tcPr>
            <w:tcW w:w="1940" w:type="dxa"/>
          </w:tcPr>
          <w:p w14:paraId="2259030D" w14:textId="33E93A3E" w:rsidR="00570E36" w:rsidRDefault="00570E36" w:rsidP="000B42F7">
            <w:pPr>
              <w:ind w:left="0" w:right="0"/>
            </w:pPr>
            <w:r>
              <w:t>Individual Performance</w:t>
            </w:r>
          </w:p>
        </w:tc>
        <w:tc>
          <w:tcPr>
            <w:tcW w:w="5705" w:type="dxa"/>
          </w:tcPr>
          <w:p w14:paraId="4BD6BD7F" w14:textId="037B2348" w:rsidR="00570E36" w:rsidRDefault="00570E36" w:rsidP="000B42F7">
            <w:pPr>
              <w:ind w:left="0" w:right="0"/>
            </w:pPr>
            <w:r>
              <w:t>The total rushing touchdowns divided by the number of games the QB played as primary passer.</w:t>
            </w:r>
          </w:p>
        </w:tc>
      </w:tr>
      <w:tr w:rsidR="00570E36" w14:paraId="11BFFBDA" w14:textId="77777777" w:rsidTr="006A2B23">
        <w:tc>
          <w:tcPr>
            <w:tcW w:w="1705" w:type="dxa"/>
            <w:noWrap/>
          </w:tcPr>
          <w:p w14:paraId="449EED79" w14:textId="0C09B677" w:rsidR="00570E36" w:rsidRDefault="00570E36" w:rsidP="000B42F7">
            <w:pPr>
              <w:ind w:left="0" w:right="0"/>
              <w:jc w:val="left"/>
            </w:pPr>
            <w:r>
              <w:t>Rushing Yards per Attempt</w:t>
            </w:r>
          </w:p>
        </w:tc>
        <w:tc>
          <w:tcPr>
            <w:tcW w:w="1940" w:type="dxa"/>
          </w:tcPr>
          <w:p w14:paraId="20091F37" w14:textId="4B734A5A" w:rsidR="00570E36" w:rsidRDefault="00570E36" w:rsidP="000B42F7">
            <w:pPr>
              <w:ind w:left="0" w:right="0"/>
            </w:pPr>
            <w:r>
              <w:t>Individual Performance</w:t>
            </w:r>
          </w:p>
        </w:tc>
        <w:tc>
          <w:tcPr>
            <w:tcW w:w="5705" w:type="dxa"/>
          </w:tcPr>
          <w:p w14:paraId="18FF35CF" w14:textId="40090D45" w:rsidR="00570E36" w:rsidRDefault="00570E36" w:rsidP="000B42F7">
            <w:pPr>
              <w:ind w:left="0" w:right="0"/>
            </w:pPr>
            <w:r>
              <w:t>The total rushing yards divided by the number of rushes the QB attempted.</w:t>
            </w:r>
          </w:p>
        </w:tc>
      </w:tr>
      <w:tr w:rsidR="00570E36" w14:paraId="1B9BF9D8" w14:textId="77777777" w:rsidTr="006A2B23">
        <w:tc>
          <w:tcPr>
            <w:tcW w:w="1705" w:type="dxa"/>
            <w:noWrap/>
          </w:tcPr>
          <w:p w14:paraId="73A191EC" w14:textId="49B98889" w:rsidR="00570E36" w:rsidRDefault="00570E36" w:rsidP="000B42F7">
            <w:pPr>
              <w:ind w:left="0" w:right="0"/>
              <w:jc w:val="left"/>
            </w:pPr>
            <w:r>
              <w:t>Sacks per Play</w:t>
            </w:r>
          </w:p>
        </w:tc>
        <w:tc>
          <w:tcPr>
            <w:tcW w:w="1940" w:type="dxa"/>
          </w:tcPr>
          <w:p w14:paraId="1867F55D" w14:textId="0F4A1E9E" w:rsidR="00570E36" w:rsidRDefault="00570E36" w:rsidP="000B42F7">
            <w:pPr>
              <w:ind w:left="0" w:right="0"/>
            </w:pPr>
            <w:r>
              <w:t>Individual Performance</w:t>
            </w:r>
          </w:p>
        </w:tc>
        <w:tc>
          <w:tcPr>
            <w:tcW w:w="5705" w:type="dxa"/>
          </w:tcPr>
          <w:p w14:paraId="673C9E90" w14:textId="144BE703" w:rsidR="00570E36" w:rsidRDefault="00570E36" w:rsidP="000B42F7">
            <w:pPr>
              <w:ind w:left="0" w:right="0"/>
            </w:pPr>
            <w:r>
              <w:t xml:space="preserve">The </w:t>
            </w:r>
            <w:r w:rsidR="00F31569">
              <w:t>number of times the opposing team sacked the QB divided by the number of snaps the QB played.</w:t>
            </w:r>
          </w:p>
        </w:tc>
      </w:tr>
      <w:tr w:rsidR="00F31569" w14:paraId="0E342066" w14:textId="77777777" w:rsidTr="006A2B23">
        <w:tc>
          <w:tcPr>
            <w:tcW w:w="1705" w:type="dxa"/>
            <w:noWrap/>
          </w:tcPr>
          <w:p w14:paraId="1FC651BD" w14:textId="091DC090" w:rsidR="00F31569" w:rsidRDefault="00F31569" w:rsidP="000B42F7">
            <w:pPr>
              <w:ind w:left="0" w:right="0"/>
              <w:jc w:val="left"/>
            </w:pPr>
            <w:r>
              <w:t>Turnovers per Attempt</w:t>
            </w:r>
          </w:p>
        </w:tc>
        <w:tc>
          <w:tcPr>
            <w:tcW w:w="1940" w:type="dxa"/>
          </w:tcPr>
          <w:p w14:paraId="163A87AB" w14:textId="38A8C575" w:rsidR="00F31569" w:rsidRDefault="00F31569" w:rsidP="000B42F7">
            <w:pPr>
              <w:ind w:left="0" w:right="0"/>
            </w:pPr>
            <w:r>
              <w:t>Individual Performance</w:t>
            </w:r>
          </w:p>
        </w:tc>
        <w:tc>
          <w:tcPr>
            <w:tcW w:w="5705" w:type="dxa"/>
          </w:tcPr>
          <w:p w14:paraId="5E7373F3" w14:textId="0C7D85EE" w:rsidR="00F31569" w:rsidRDefault="00F31569" w:rsidP="000B42F7">
            <w:pPr>
              <w:ind w:left="0" w:right="0"/>
            </w:pPr>
            <w:r>
              <w:t>The number of fumbles and interceptions the QB was responsible for divided by the number of snaps the QB played.</w:t>
            </w:r>
          </w:p>
        </w:tc>
      </w:tr>
    </w:tbl>
    <w:p w14:paraId="67351DF1" w14:textId="77777777" w:rsidR="00D67032" w:rsidRDefault="00D67032" w:rsidP="000B42F7">
      <w:pPr>
        <w:ind w:right="0"/>
      </w:pPr>
    </w:p>
    <w:p w14:paraId="10A42FB4" w14:textId="36BA1E18" w:rsidR="007942BF" w:rsidRDefault="007942BF" w:rsidP="000B42F7">
      <w:pPr>
        <w:pStyle w:val="Caption"/>
        <w:ind w:right="0"/>
      </w:pPr>
      <w:r>
        <w:t xml:space="preserve">Table </w:t>
      </w:r>
      <w:r w:rsidR="00000000">
        <w:fldChar w:fldCharType="begin"/>
      </w:r>
      <w:r w:rsidR="00000000">
        <w:instrText xml:space="preserve"> SEQ Table \* ARABIC </w:instrText>
      </w:r>
      <w:r w:rsidR="00000000">
        <w:fldChar w:fldCharType="separate"/>
      </w:r>
      <w:r w:rsidR="00E02EAD">
        <w:rPr>
          <w:noProof/>
        </w:rPr>
        <w:t>2</w:t>
      </w:r>
      <w:r w:rsidR="00000000">
        <w:rPr>
          <w:noProof/>
        </w:rPr>
        <w:fldChar w:fldCharType="end"/>
      </w:r>
      <w:r>
        <w:t>. Response Variables</w:t>
      </w:r>
    </w:p>
    <w:tbl>
      <w:tblPr>
        <w:tblStyle w:val="TableGrid"/>
        <w:tblW w:w="0" w:type="auto"/>
        <w:tblInd w:w="720" w:type="dxa"/>
        <w:tblLook w:val="04A0" w:firstRow="1" w:lastRow="0" w:firstColumn="1" w:lastColumn="0" w:noHBand="0" w:noVBand="1"/>
      </w:tblPr>
      <w:tblGrid>
        <w:gridCol w:w="1705"/>
        <w:gridCol w:w="1940"/>
        <w:gridCol w:w="5705"/>
      </w:tblGrid>
      <w:tr w:rsidR="004D6450" w:rsidRPr="00D67032" w14:paraId="53AC9919" w14:textId="77777777" w:rsidTr="008358F1">
        <w:tc>
          <w:tcPr>
            <w:tcW w:w="1705" w:type="dxa"/>
          </w:tcPr>
          <w:p w14:paraId="35BA83EC" w14:textId="77777777" w:rsidR="004D6450" w:rsidRPr="00D67032" w:rsidRDefault="004D6450" w:rsidP="000B42F7">
            <w:pPr>
              <w:ind w:left="0" w:right="0"/>
              <w:rPr>
                <w:b/>
                <w:bCs/>
              </w:rPr>
            </w:pPr>
            <w:r w:rsidRPr="00D67032">
              <w:rPr>
                <w:b/>
                <w:bCs/>
              </w:rPr>
              <w:t>Variable Name</w:t>
            </w:r>
          </w:p>
        </w:tc>
        <w:tc>
          <w:tcPr>
            <w:tcW w:w="1940" w:type="dxa"/>
          </w:tcPr>
          <w:p w14:paraId="4F63C67B" w14:textId="77777777" w:rsidR="004D6450" w:rsidRPr="00D67032" w:rsidRDefault="004D6450" w:rsidP="000B42F7">
            <w:pPr>
              <w:ind w:left="0" w:right="0"/>
              <w:rPr>
                <w:b/>
                <w:bCs/>
              </w:rPr>
            </w:pPr>
            <w:r w:rsidRPr="00D67032">
              <w:rPr>
                <w:b/>
                <w:bCs/>
              </w:rPr>
              <w:t>Category</w:t>
            </w:r>
          </w:p>
        </w:tc>
        <w:tc>
          <w:tcPr>
            <w:tcW w:w="5705" w:type="dxa"/>
          </w:tcPr>
          <w:p w14:paraId="41C23D0B" w14:textId="77777777" w:rsidR="004D6450" w:rsidRPr="00D67032" w:rsidRDefault="004D6450" w:rsidP="000B42F7">
            <w:pPr>
              <w:ind w:left="0" w:right="0"/>
              <w:rPr>
                <w:b/>
                <w:bCs/>
              </w:rPr>
            </w:pPr>
            <w:r w:rsidRPr="00D67032">
              <w:rPr>
                <w:b/>
                <w:bCs/>
              </w:rPr>
              <w:t>Description</w:t>
            </w:r>
          </w:p>
        </w:tc>
      </w:tr>
      <w:tr w:rsidR="004D6450" w14:paraId="0E0793EC" w14:textId="77777777" w:rsidTr="008358F1">
        <w:tc>
          <w:tcPr>
            <w:tcW w:w="1705" w:type="dxa"/>
            <w:noWrap/>
          </w:tcPr>
          <w:p w14:paraId="1F7A4693" w14:textId="45CE6DF6" w:rsidR="004D6450" w:rsidRDefault="004D6450" w:rsidP="000B42F7">
            <w:pPr>
              <w:ind w:left="0" w:right="0"/>
              <w:jc w:val="left"/>
            </w:pPr>
            <w:r>
              <w:lastRenderedPageBreak/>
              <w:t>Franchise QB</w:t>
            </w:r>
          </w:p>
        </w:tc>
        <w:tc>
          <w:tcPr>
            <w:tcW w:w="1940" w:type="dxa"/>
          </w:tcPr>
          <w:p w14:paraId="30F23DDC" w14:textId="02981618" w:rsidR="004D6450" w:rsidRDefault="004D6450" w:rsidP="000B42F7">
            <w:pPr>
              <w:ind w:left="0" w:right="0"/>
            </w:pPr>
            <w:r>
              <w:t>Categorical</w:t>
            </w:r>
          </w:p>
        </w:tc>
        <w:tc>
          <w:tcPr>
            <w:tcW w:w="5705" w:type="dxa"/>
          </w:tcPr>
          <w:p w14:paraId="583BED33" w14:textId="15DE5813" w:rsidR="004D6450" w:rsidRDefault="004D6450" w:rsidP="000B42F7">
            <w:pPr>
              <w:ind w:left="0" w:right="0"/>
            </w:pPr>
            <w:r>
              <w:t>Labeled as 1 if the QB played at or above the median number of games as primary passer for the 90 QBs (71 games). Otherwise, 0.</w:t>
            </w:r>
          </w:p>
        </w:tc>
      </w:tr>
      <w:tr w:rsidR="004D6450" w14:paraId="47C6F861" w14:textId="77777777" w:rsidTr="008358F1">
        <w:tc>
          <w:tcPr>
            <w:tcW w:w="1705" w:type="dxa"/>
            <w:noWrap/>
          </w:tcPr>
          <w:p w14:paraId="4CCE5C00" w14:textId="56AC3F60" w:rsidR="004D6450" w:rsidRDefault="004D6450" w:rsidP="000B42F7">
            <w:pPr>
              <w:ind w:left="0" w:right="0"/>
              <w:jc w:val="left"/>
            </w:pPr>
            <w:r>
              <w:t>Contract Average per Year (Average per year)</w:t>
            </w:r>
          </w:p>
        </w:tc>
        <w:tc>
          <w:tcPr>
            <w:tcW w:w="1940" w:type="dxa"/>
          </w:tcPr>
          <w:p w14:paraId="23AC59EC" w14:textId="49E602F7" w:rsidR="004D6450" w:rsidRDefault="004D6450" w:rsidP="000B42F7">
            <w:pPr>
              <w:ind w:left="0" w:right="0"/>
            </w:pPr>
            <w:r>
              <w:t>Continuous</w:t>
            </w:r>
          </w:p>
        </w:tc>
        <w:tc>
          <w:tcPr>
            <w:tcW w:w="5705" w:type="dxa"/>
          </w:tcPr>
          <w:p w14:paraId="2602781F" w14:textId="180B6B37" w:rsidR="004D6450" w:rsidRDefault="004D6450" w:rsidP="000B42F7">
            <w:pPr>
              <w:ind w:left="0" w:right="0"/>
            </w:pPr>
            <w:r>
              <w:t>The total dollar value</w:t>
            </w:r>
            <w:r w:rsidR="00AD3BCA">
              <w:t xml:space="preserve"> (presented in millions of dolars)</w:t>
            </w:r>
            <w:r>
              <w:t xml:space="preserve"> of the contract adjusted for inflation in 2022 divided by the number of years the contract extends.</w:t>
            </w:r>
          </w:p>
        </w:tc>
      </w:tr>
      <w:tr w:rsidR="004D6450" w14:paraId="44FF9CE9" w14:textId="77777777" w:rsidTr="008358F1">
        <w:tc>
          <w:tcPr>
            <w:tcW w:w="1705" w:type="dxa"/>
            <w:noWrap/>
          </w:tcPr>
          <w:p w14:paraId="6BEAA660" w14:textId="74F503EA" w:rsidR="004D6450" w:rsidRDefault="004D6450" w:rsidP="000B42F7">
            <w:pPr>
              <w:ind w:left="0" w:right="0"/>
              <w:jc w:val="left"/>
            </w:pPr>
            <w:r>
              <w:t>Contract Years</w:t>
            </w:r>
          </w:p>
        </w:tc>
        <w:tc>
          <w:tcPr>
            <w:tcW w:w="1940" w:type="dxa"/>
          </w:tcPr>
          <w:p w14:paraId="23FD91D6" w14:textId="7B87D931" w:rsidR="004D6450" w:rsidRDefault="004D6450" w:rsidP="000B42F7">
            <w:pPr>
              <w:ind w:left="0" w:right="0"/>
            </w:pPr>
            <w:r>
              <w:t>Continuous</w:t>
            </w:r>
          </w:p>
        </w:tc>
        <w:tc>
          <w:tcPr>
            <w:tcW w:w="5705" w:type="dxa"/>
          </w:tcPr>
          <w:p w14:paraId="51D07404" w14:textId="7BCC8C93" w:rsidR="004D6450" w:rsidRDefault="004D6450" w:rsidP="000B42F7">
            <w:pPr>
              <w:ind w:left="0" w:right="0"/>
            </w:pPr>
            <w:r>
              <w:t>The number of years the contract extends.</w:t>
            </w:r>
          </w:p>
        </w:tc>
      </w:tr>
    </w:tbl>
    <w:p w14:paraId="62A6D808" w14:textId="77777777" w:rsidR="004D6450" w:rsidRDefault="004D6450" w:rsidP="000B42F7">
      <w:pPr>
        <w:ind w:right="0"/>
      </w:pPr>
    </w:p>
    <w:p w14:paraId="7A2EC085" w14:textId="77777777" w:rsidR="004D6450" w:rsidRDefault="004D6450" w:rsidP="000B42F7">
      <w:pPr>
        <w:ind w:right="0"/>
      </w:pPr>
    </w:p>
    <w:p w14:paraId="4B3F8F0A" w14:textId="1F044ACC" w:rsidR="00BB6E6D" w:rsidRPr="00E34789" w:rsidRDefault="00BB6E6D" w:rsidP="000B42F7">
      <w:pPr>
        <w:pStyle w:val="Heading1"/>
        <w:ind w:right="0"/>
      </w:pPr>
      <w:r w:rsidRPr="00E34789">
        <w:t>2.0 - EXPLORATORY DATA ANALYSIS (EDA)</w:t>
      </w:r>
    </w:p>
    <w:p w14:paraId="478A4912" w14:textId="78B44B8D" w:rsidR="00BE6E4B" w:rsidRDefault="00BE6E4B" w:rsidP="000B42F7">
      <w:pPr>
        <w:pStyle w:val="Caption"/>
        <w:ind w:right="0"/>
      </w:pPr>
      <w:bookmarkStart w:id="3" w:name="_Ref117702736"/>
      <w:r>
        <w:t xml:space="preserve">Table </w:t>
      </w:r>
      <w:r>
        <w:fldChar w:fldCharType="begin"/>
      </w:r>
      <w:r>
        <w:instrText xml:space="preserve"> SEQ Table \* ARABIC </w:instrText>
      </w:r>
      <w:r>
        <w:fldChar w:fldCharType="separate"/>
      </w:r>
      <w:r w:rsidR="00E02EAD">
        <w:rPr>
          <w:noProof/>
        </w:rPr>
        <w:t>3</w:t>
      </w:r>
      <w:r>
        <w:fldChar w:fldCharType="end"/>
      </w:r>
      <w:r>
        <w:t xml:space="preserve">. Numerical Summary of </w:t>
      </w:r>
      <w:r w:rsidR="00263903">
        <w:t xml:space="preserve">Franchise QB </w:t>
      </w:r>
      <w:r>
        <w:t>Predictor Variables</w:t>
      </w:r>
      <w:bookmarkEnd w:id="3"/>
    </w:p>
    <w:tbl>
      <w:tblPr>
        <w:tblStyle w:val="TableGrid"/>
        <w:tblW w:w="0" w:type="auto"/>
        <w:tblInd w:w="720" w:type="dxa"/>
        <w:tblLook w:val="04A0" w:firstRow="1" w:lastRow="0" w:firstColumn="1" w:lastColumn="0" w:noHBand="0" w:noVBand="1"/>
      </w:tblPr>
      <w:tblGrid>
        <w:gridCol w:w="2095"/>
        <w:gridCol w:w="1675"/>
        <w:gridCol w:w="846"/>
        <w:gridCol w:w="1858"/>
        <w:gridCol w:w="1014"/>
        <w:gridCol w:w="889"/>
        <w:gridCol w:w="973"/>
      </w:tblGrid>
      <w:tr w:rsidR="00BE71C3" w:rsidRPr="00BE6E4B" w14:paraId="5D2A8759" w14:textId="77777777" w:rsidTr="000C3FED">
        <w:trPr>
          <w:trHeight w:val="300"/>
        </w:trPr>
        <w:tc>
          <w:tcPr>
            <w:tcW w:w="2096" w:type="dxa"/>
            <w:noWrap/>
            <w:hideMark/>
          </w:tcPr>
          <w:p w14:paraId="2D2FDC1C" w14:textId="77777777" w:rsidR="00BE6E4B" w:rsidRPr="00BE6E4B" w:rsidRDefault="00BE6E4B" w:rsidP="000B42F7">
            <w:pPr>
              <w:ind w:left="0" w:right="0"/>
              <w:jc w:val="center"/>
              <w:rPr>
                <w:rFonts w:cs="Arial"/>
                <w:b/>
                <w:bCs/>
                <w:color w:val="000000"/>
              </w:rPr>
            </w:pPr>
            <w:r w:rsidRPr="00BE6E4B">
              <w:rPr>
                <w:rFonts w:cs="Arial"/>
                <w:b/>
                <w:bCs/>
                <w:color w:val="000000"/>
              </w:rPr>
              <w:t>Variable</w:t>
            </w:r>
          </w:p>
        </w:tc>
        <w:tc>
          <w:tcPr>
            <w:tcW w:w="1675" w:type="dxa"/>
            <w:noWrap/>
            <w:hideMark/>
          </w:tcPr>
          <w:p w14:paraId="201BE428" w14:textId="77777777" w:rsidR="00BE6E4B" w:rsidRPr="00BE6E4B" w:rsidRDefault="00BE6E4B" w:rsidP="000B42F7">
            <w:pPr>
              <w:ind w:left="0" w:right="0"/>
              <w:jc w:val="center"/>
              <w:rPr>
                <w:rFonts w:cs="Arial"/>
                <w:b/>
                <w:bCs/>
                <w:color w:val="000000"/>
              </w:rPr>
            </w:pPr>
            <w:r w:rsidRPr="00BE6E4B">
              <w:rPr>
                <w:rFonts w:cs="Arial"/>
                <w:b/>
                <w:bCs/>
                <w:color w:val="000000"/>
              </w:rPr>
              <w:t>Missing Values</w:t>
            </w:r>
          </w:p>
        </w:tc>
        <w:tc>
          <w:tcPr>
            <w:tcW w:w="846" w:type="dxa"/>
            <w:noWrap/>
            <w:hideMark/>
          </w:tcPr>
          <w:p w14:paraId="690C9F08" w14:textId="77777777" w:rsidR="00BE6E4B" w:rsidRPr="00BE6E4B" w:rsidRDefault="00BE6E4B" w:rsidP="000B42F7">
            <w:pPr>
              <w:ind w:left="0" w:right="0"/>
              <w:jc w:val="center"/>
              <w:rPr>
                <w:rFonts w:cs="Arial"/>
                <w:b/>
                <w:bCs/>
                <w:color w:val="000000"/>
              </w:rPr>
            </w:pPr>
            <w:r w:rsidRPr="00BE6E4B">
              <w:rPr>
                <w:rFonts w:cs="Arial"/>
                <w:b/>
                <w:bCs/>
                <w:color w:val="000000"/>
              </w:rPr>
              <w:t>Mean</w:t>
            </w:r>
          </w:p>
        </w:tc>
        <w:tc>
          <w:tcPr>
            <w:tcW w:w="1858" w:type="dxa"/>
            <w:noWrap/>
            <w:hideMark/>
          </w:tcPr>
          <w:p w14:paraId="243DE135" w14:textId="77777777" w:rsidR="00BE6E4B" w:rsidRPr="00BE6E4B" w:rsidRDefault="00BE6E4B" w:rsidP="000B42F7">
            <w:pPr>
              <w:ind w:left="0" w:right="0"/>
              <w:jc w:val="center"/>
              <w:rPr>
                <w:rFonts w:cs="Arial"/>
                <w:b/>
                <w:bCs/>
                <w:color w:val="000000"/>
              </w:rPr>
            </w:pPr>
            <w:r w:rsidRPr="00BE6E4B">
              <w:rPr>
                <w:rFonts w:cs="Arial"/>
                <w:b/>
                <w:bCs/>
                <w:color w:val="000000"/>
              </w:rPr>
              <w:t>Standard Deviation</w:t>
            </w:r>
          </w:p>
        </w:tc>
        <w:tc>
          <w:tcPr>
            <w:tcW w:w="1014" w:type="dxa"/>
            <w:noWrap/>
            <w:hideMark/>
          </w:tcPr>
          <w:p w14:paraId="74F565EC" w14:textId="77777777" w:rsidR="00BE6E4B" w:rsidRPr="00BE6E4B" w:rsidRDefault="00BE6E4B" w:rsidP="000B42F7">
            <w:pPr>
              <w:ind w:left="0" w:right="0"/>
              <w:jc w:val="center"/>
              <w:rPr>
                <w:rFonts w:cs="Arial"/>
                <w:b/>
                <w:bCs/>
                <w:color w:val="000000"/>
              </w:rPr>
            </w:pPr>
            <w:r w:rsidRPr="00BE6E4B">
              <w:rPr>
                <w:rFonts w:cs="Arial"/>
                <w:b/>
                <w:bCs/>
                <w:color w:val="000000"/>
              </w:rPr>
              <w:t>Min</w:t>
            </w:r>
          </w:p>
        </w:tc>
        <w:tc>
          <w:tcPr>
            <w:tcW w:w="888" w:type="dxa"/>
            <w:noWrap/>
            <w:hideMark/>
          </w:tcPr>
          <w:p w14:paraId="05540D5E" w14:textId="77777777" w:rsidR="00BE6E4B" w:rsidRPr="00BE6E4B" w:rsidRDefault="00BE6E4B" w:rsidP="000B42F7">
            <w:pPr>
              <w:ind w:left="0" w:right="0"/>
              <w:jc w:val="center"/>
              <w:rPr>
                <w:rFonts w:cs="Arial"/>
                <w:b/>
                <w:bCs/>
                <w:color w:val="000000"/>
              </w:rPr>
            </w:pPr>
            <w:r w:rsidRPr="00BE6E4B">
              <w:rPr>
                <w:rFonts w:cs="Arial"/>
                <w:b/>
                <w:bCs/>
                <w:color w:val="000000"/>
              </w:rPr>
              <w:t>Max</w:t>
            </w:r>
          </w:p>
        </w:tc>
        <w:tc>
          <w:tcPr>
            <w:tcW w:w="973" w:type="dxa"/>
            <w:noWrap/>
            <w:hideMark/>
          </w:tcPr>
          <w:p w14:paraId="049181BB" w14:textId="77777777" w:rsidR="00BE6E4B" w:rsidRPr="00BE6E4B" w:rsidRDefault="00BE6E4B" w:rsidP="000B42F7">
            <w:pPr>
              <w:ind w:left="0" w:right="0"/>
              <w:jc w:val="center"/>
              <w:rPr>
                <w:rFonts w:cs="Arial"/>
                <w:b/>
                <w:bCs/>
                <w:color w:val="000000"/>
              </w:rPr>
            </w:pPr>
            <w:r w:rsidRPr="00BE6E4B">
              <w:rPr>
                <w:rFonts w:cs="Arial"/>
                <w:b/>
                <w:bCs/>
                <w:color w:val="000000"/>
              </w:rPr>
              <w:t>Range</w:t>
            </w:r>
          </w:p>
        </w:tc>
      </w:tr>
      <w:tr w:rsidR="00BE71C3" w:rsidRPr="00BE6E4B" w14:paraId="4395D0DB" w14:textId="77777777" w:rsidTr="000C3FED">
        <w:trPr>
          <w:trHeight w:val="300"/>
        </w:trPr>
        <w:tc>
          <w:tcPr>
            <w:tcW w:w="2096" w:type="dxa"/>
            <w:noWrap/>
            <w:hideMark/>
          </w:tcPr>
          <w:p w14:paraId="439745D0" w14:textId="1DA311ED" w:rsidR="00BE6E4B" w:rsidRPr="00BE6E4B" w:rsidRDefault="00BE6E4B" w:rsidP="000B42F7">
            <w:pPr>
              <w:ind w:left="0" w:right="0"/>
              <w:jc w:val="left"/>
              <w:rPr>
                <w:rFonts w:cs="Arial"/>
                <w:color w:val="000000"/>
              </w:rPr>
            </w:pPr>
            <w:r w:rsidRPr="00BE6E4B">
              <w:rPr>
                <w:rFonts w:cs="Arial"/>
                <w:color w:val="000000"/>
              </w:rPr>
              <w:t>E</w:t>
            </w:r>
            <w:r w:rsidR="00263903" w:rsidRPr="000C3FED">
              <w:rPr>
                <w:rFonts w:cs="Arial"/>
                <w:color w:val="000000"/>
              </w:rPr>
              <w:t>PA</w:t>
            </w:r>
            <w:r w:rsidRPr="00BE6E4B">
              <w:rPr>
                <w:rFonts w:cs="Arial"/>
                <w:color w:val="000000"/>
              </w:rPr>
              <w:t xml:space="preserve"> Per Play</w:t>
            </w:r>
          </w:p>
        </w:tc>
        <w:tc>
          <w:tcPr>
            <w:tcW w:w="1675" w:type="dxa"/>
            <w:noWrap/>
            <w:hideMark/>
          </w:tcPr>
          <w:p w14:paraId="1D5E064B"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3B243AE5" w14:textId="77777777" w:rsidR="00BE6E4B" w:rsidRPr="00BE6E4B" w:rsidRDefault="00BE6E4B" w:rsidP="000B42F7">
            <w:pPr>
              <w:ind w:left="0" w:right="0"/>
              <w:jc w:val="right"/>
              <w:rPr>
                <w:rFonts w:cs="Arial"/>
                <w:color w:val="000000"/>
              </w:rPr>
            </w:pPr>
            <w:r w:rsidRPr="00BE6E4B">
              <w:rPr>
                <w:rFonts w:cs="Arial"/>
                <w:color w:val="000000"/>
              </w:rPr>
              <w:t>0.03</w:t>
            </w:r>
          </w:p>
        </w:tc>
        <w:tc>
          <w:tcPr>
            <w:tcW w:w="1858" w:type="dxa"/>
            <w:noWrap/>
            <w:hideMark/>
          </w:tcPr>
          <w:p w14:paraId="77F44040" w14:textId="77777777" w:rsidR="00BE6E4B" w:rsidRPr="00BE6E4B" w:rsidRDefault="00BE6E4B" w:rsidP="000B42F7">
            <w:pPr>
              <w:ind w:left="0" w:right="0"/>
              <w:jc w:val="right"/>
              <w:rPr>
                <w:rFonts w:cs="Arial"/>
                <w:color w:val="000000"/>
              </w:rPr>
            </w:pPr>
            <w:r w:rsidRPr="00BE6E4B">
              <w:rPr>
                <w:rFonts w:cs="Arial"/>
                <w:color w:val="000000"/>
              </w:rPr>
              <w:t>0.09</w:t>
            </w:r>
          </w:p>
        </w:tc>
        <w:tc>
          <w:tcPr>
            <w:tcW w:w="1014" w:type="dxa"/>
            <w:noWrap/>
            <w:hideMark/>
          </w:tcPr>
          <w:p w14:paraId="7051C804" w14:textId="77777777" w:rsidR="00BE6E4B" w:rsidRPr="00BE6E4B" w:rsidRDefault="00BE6E4B" w:rsidP="000B42F7">
            <w:pPr>
              <w:ind w:left="0" w:right="0"/>
              <w:jc w:val="right"/>
              <w:rPr>
                <w:rFonts w:cs="Arial"/>
                <w:color w:val="000000"/>
              </w:rPr>
            </w:pPr>
            <w:r w:rsidRPr="00BE6E4B">
              <w:rPr>
                <w:rFonts w:cs="Arial"/>
                <w:color w:val="000000"/>
              </w:rPr>
              <w:t>-0.18</w:t>
            </w:r>
          </w:p>
        </w:tc>
        <w:tc>
          <w:tcPr>
            <w:tcW w:w="888" w:type="dxa"/>
            <w:noWrap/>
            <w:hideMark/>
          </w:tcPr>
          <w:p w14:paraId="0C732988" w14:textId="77777777" w:rsidR="00BE6E4B" w:rsidRPr="00BE6E4B" w:rsidRDefault="00BE6E4B" w:rsidP="000B42F7">
            <w:pPr>
              <w:ind w:left="0" w:right="0"/>
              <w:jc w:val="right"/>
              <w:rPr>
                <w:rFonts w:cs="Arial"/>
                <w:color w:val="000000"/>
              </w:rPr>
            </w:pPr>
            <w:r w:rsidRPr="00BE6E4B">
              <w:rPr>
                <w:rFonts w:cs="Arial"/>
                <w:color w:val="000000"/>
              </w:rPr>
              <w:t>0.32</w:t>
            </w:r>
          </w:p>
        </w:tc>
        <w:tc>
          <w:tcPr>
            <w:tcW w:w="973" w:type="dxa"/>
            <w:noWrap/>
            <w:hideMark/>
          </w:tcPr>
          <w:p w14:paraId="390D056C" w14:textId="77777777" w:rsidR="00BE6E4B" w:rsidRPr="00BE6E4B" w:rsidRDefault="00BE6E4B" w:rsidP="000B42F7">
            <w:pPr>
              <w:ind w:left="0" w:right="0"/>
              <w:jc w:val="right"/>
              <w:rPr>
                <w:rFonts w:cs="Arial"/>
                <w:color w:val="000000"/>
              </w:rPr>
            </w:pPr>
            <w:r w:rsidRPr="00BE6E4B">
              <w:rPr>
                <w:rFonts w:cs="Arial"/>
                <w:color w:val="000000"/>
              </w:rPr>
              <w:t>0.51</w:t>
            </w:r>
          </w:p>
        </w:tc>
      </w:tr>
      <w:tr w:rsidR="00BE71C3" w:rsidRPr="00BE6E4B" w14:paraId="3687F322" w14:textId="77777777" w:rsidTr="000C3FED">
        <w:trPr>
          <w:trHeight w:val="300"/>
        </w:trPr>
        <w:tc>
          <w:tcPr>
            <w:tcW w:w="2096" w:type="dxa"/>
            <w:noWrap/>
            <w:hideMark/>
          </w:tcPr>
          <w:p w14:paraId="657A4C7B" w14:textId="77777777" w:rsidR="00BE6E4B" w:rsidRPr="00BE6E4B" w:rsidRDefault="00BE6E4B" w:rsidP="000B42F7">
            <w:pPr>
              <w:ind w:left="0" w:right="0"/>
              <w:jc w:val="left"/>
              <w:rPr>
                <w:rFonts w:cs="Arial"/>
                <w:color w:val="000000"/>
              </w:rPr>
            </w:pPr>
            <w:r w:rsidRPr="00BE6E4B">
              <w:rPr>
                <w:rFonts w:cs="Arial"/>
                <w:color w:val="000000"/>
              </w:rPr>
              <w:t>Fumbles Per Attempt</w:t>
            </w:r>
          </w:p>
        </w:tc>
        <w:tc>
          <w:tcPr>
            <w:tcW w:w="1675" w:type="dxa"/>
            <w:noWrap/>
            <w:hideMark/>
          </w:tcPr>
          <w:p w14:paraId="1FD4EC3E"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4677CD08" w14:textId="77777777" w:rsidR="00BE6E4B" w:rsidRPr="00BE6E4B" w:rsidRDefault="00BE6E4B" w:rsidP="000B42F7">
            <w:pPr>
              <w:ind w:left="0" w:right="0"/>
              <w:jc w:val="right"/>
              <w:rPr>
                <w:rFonts w:cs="Arial"/>
                <w:color w:val="000000"/>
              </w:rPr>
            </w:pPr>
            <w:r w:rsidRPr="00BE6E4B">
              <w:rPr>
                <w:rFonts w:cs="Arial"/>
                <w:color w:val="000000"/>
              </w:rPr>
              <w:t>0.01</w:t>
            </w:r>
          </w:p>
        </w:tc>
        <w:tc>
          <w:tcPr>
            <w:tcW w:w="1858" w:type="dxa"/>
            <w:noWrap/>
            <w:hideMark/>
          </w:tcPr>
          <w:p w14:paraId="7D0182D2" w14:textId="77777777" w:rsidR="00BE6E4B" w:rsidRPr="00BE6E4B" w:rsidRDefault="00BE6E4B" w:rsidP="000B42F7">
            <w:pPr>
              <w:ind w:left="0" w:right="0"/>
              <w:jc w:val="right"/>
              <w:rPr>
                <w:rFonts w:cs="Arial"/>
                <w:color w:val="000000"/>
              </w:rPr>
            </w:pPr>
            <w:r w:rsidRPr="00BE6E4B">
              <w:rPr>
                <w:rFonts w:cs="Arial"/>
                <w:color w:val="000000"/>
              </w:rPr>
              <w:t>0.00</w:t>
            </w:r>
          </w:p>
        </w:tc>
        <w:tc>
          <w:tcPr>
            <w:tcW w:w="1014" w:type="dxa"/>
            <w:noWrap/>
            <w:hideMark/>
          </w:tcPr>
          <w:p w14:paraId="3E04A71A" w14:textId="77777777" w:rsidR="00BE6E4B" w:rsidRPr="00BE6E4B" w:rsidRDefault="00BE6E4B" w:rsidP="000B42F7">
            <w:pPr>
              <w:ind w:left="0" w:right="0"/>
              <w:jc w:val="right"/>
              <w:rPr>
                <w:rFonts w:cs="Arial"/>
                <w:color w:val="000000"/>
              </w:rPr>
            </w:pPr>
            <w:r w:rsidRPr="00BE6E4B">
              <w:rPr>
                <w:rFonts w:cs="Arial"/>
                <w:color w:val="000000"/>
              </w:rPr>
              <w:t>0.00</w:t>
            </w:r>
          </w:p>
        </w:tc>
        <w:tc>
          <w:tcPr>
            <w:tcW w:w="888" w:type="dxa"/>
            <w:noWrap/>
            <w:hideMark/>
          </w:tcPr>
          <w:p w14:paraId="538B712D" w14:textId="77777777" w:rsidR="00BE6E4B" w:rsidRPr="00BE6E4B" w:rsidRDefault="00BE6E4B" w:rsidP="000B42F7">
            <w:pPr>
              <w:ind w:left="0" w:right="0"/>
              <w:jc w:val="right"/>
              <w:rPr>
                <w:rFonts w:cs="Arial"/>
                <w:color w:val="000000"/>
              </w:rPr>
            </w:pPr>
            <w:r w:rsidRPr="00BE6E4B">
              <w:rPr>
                <w:rFonts w:cs="Arial"/>
                <w:color w:val="000000"/>
              </w:rPr>
              <w:t>0.01</w:t>
            </w:r>
          </w:p>
        </w:tc>
        <w:tc>
          <w:tcPr>
            <w:tcW w:w="973" w:type="dxa"/>
            <w:noWrap/>
            <w:hideMark/>
          </w:tcPr>
          <w:p w14:paraId="2781B84C" w14:textId="77777777" w:rsidR="00BE6E4B" w:rsidRPr="00BE6E4B" w:rsidRDefault="00BE6E4B" w:rsidP="000B42F7">
            <w:pPr>
              <w:ind w:left="0" w:right="0"/>
              <w:jc w:val="right"/>
              <w:rPr>
                <w:rFonts w:cs="Arial"/>
                <w:color w:val="000000"/>
              </w:rPr>
            </w:pPr>
            <w:r w:rsidRPr="00BE6E4B">
              <w:rPr>
                <w:rFonts w:cs="Arial"/>
                <w:color w:val="000000"/>
              </w:rPr>
              <w:t>0.01</w:t>
            </w:r>
          </w:p>
        </w:tc>
      </w:tr>
      <w:tr w:rsidR="00BE71C3" w:rsidRPr="00BE6E4B" w14:paraId="57812A58" w14:textId="77777777" w:rsidTr="000C3FED">
        <w:trPr>
          <w:trHeight w:val="300"/>
        </w:trPr>
        <w:tc>
          <w:tcPr>
            <w:tcW w:w="2096" w:type="dxa"/>
            <w:noWrap/>
            <w:hideMark/>
          </w:tcPr>
          <w:p w14:paraId="188729AF" w14:textId="77777777" w:rsidR="00BE6E4B" w:rsidRPr="00BE6E4B" w:rsidRDefault="00BE6E4B" w:rsidP="000B42F7">
            <w:pPr>
              <w:ind w:left="0" w:right="0"/>
              <w:jc w:val="left"/>
              <w:rPr>
                <w:rFonts w:cs="Arial"/>
                <w:color w:val="000000"/>
              </w:rPr>
            </w:pPr>
            <w:r w:rsidRPr="00BE6E4B">
              <w:rPr>
                <w:rFonts w:cs="Arial"/>
                <w:color w:val="000000"/>
              </w:rPr>
              <w:t>Interceptions Per Attempt</w:t>
            </w:r>
          </w:p>
        </w:tc>
        <w:tc>
          <w:tcPr>
            <w:tcW w:w="1675" w:type="dxa"/>
            <w:noWrap/>
            <w:hideMark/>
          </w:tcPr>
          <w:p w14:paraId="1456D93F"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62D901FA" w14:textId="77777777" w:rsidR="00BE6E4B" w:rsidRPr="00BE6E4B" w:rsidRDefault="00BE6E4B" w:rsidP="000B42F7">
            <w:pPr>
              <w:ind w:left="0" w:right="0"/>
              <w:jc w:val="right"/>
              <w:rPr>
                <w:rFonts w:cs="Arial"/>
                <w:color w:val="000000"/>
              </w:rPr>
            </w:pPr>
            <w:r w:rsidRPr="00BE6E4B">
              <w:rPr>
                <w:rFonts w:cs="Arial"/>
                <w:color w:val="000000"/>
              </w:rPr>
              <w:t>0.03</w:t>
            </w:r>
          </w:p>
        </w:tc>
        <w:tc>
          <w:tcPr>
            <w:tcW w:w="1858" w:type="dxa"/>
            <w:noWrap/>
            <w:hideMark/>
          </w:tcPr>
          <w:p w14:paraId="3A2DC796" w14:textId="77777777" w:rsidR="00BE6E4B" w:rsidRPr="00BE6E4B" w:rsidRDefault="00BE6E4B" w:rsidP="000B42F7">
            <w:pPr>
              <w:ind w:left="0" w:right="0"/>
              <w:jc w:val="right"/>
              <w:rPr>
                <w:rFonts w:cs="Arial"/>
                <w:color w:val="000000"/>
              </w:rPr>
            </w:pPr>
            <w:r w:rsidRPr="00BE6E4B">
              <w:rPr>
                <w:rFonts w:cs="Arial"/>
                <w:color w:val="000000"/>
              </w:rPr>
              <w:t>0.01</w:t>
            </w:r>
          </w:p>
        </w:tc>
        <w:tc>
          <w:tcPr>
            <w:tcW w:w="1014" w:type="dxa"/>
            <w:noWrap/>
            <w:hideMark/>
          </w:tcPr>
          <w:p w14:paraId="094E9153" w14:textId="77777777" w:rsidR="00BE6E4B" w:rsidRPr="00BE6E4B" w:rsidRDefault="00BE6E4B" w:rsidP="000B42F7">
            <w:pPr>
              <w:ind w:left="0" w:right="0"/>
              <w:jc w:val="right"/>
              <w:rPr>
                <w:rFonts w:cs="Arial"/>
                <w:color w:val="000000"/>
              </w:rPr>
            </w:pPr>
            <w:r w:rsidRPr="00BE6E4B">
              <w:rPr>
                <w:rFonts w:cs="Arial"/>
                <w:color w:val="000000"/>
              </w:rPr>
              <w:t>0.01</w:t>
            </w:r>
          </w:p>
        </w:tc>
        <w:tc>
          <w:tcPr>
            <w:tcW w:w="888" w:type="dxa"/>
            <w:noWrap/>
            <w:hideMark/>
          </w:tcPr>
          <w:p w14:paraId="2629C9BD" w14:textId="77777777" w:rsidR="00BE6E4B" w:rsidRPr="00BE6E4B" w:rsidRDefault="00BE6E4B" w:rsidP="000B42F7">
            <w:pPr>
              <w:ind w:left="0" w:right="0"/>
              <w:jc w:val="right"/>
              <w:rPr>
                <w:rFonts w:cs="Arial"/>
                <w:color w:val="000000"/>
              </w:rPr>
            </w:pPr>
            <w:r w:rsidRPr="00BE6E4B">
              <w:rPr>
                <w:rFonts w:cs="Arial"/>
                <w:color w:val="000000"/>
              </w:rPr>
              <w:t>0.04</w:t>
            </w:r>
          </w:p>
        </w:tc>
        <w:tc>
          <w:tcPr>
            <w:tcW w:w="973" w:type="dxa"/>
            <w:noWrap/>
            <w:hideMark/>
          </w:tcPr>
          <w:p w14:paraId="2C2D0E0F" w14:textId="77777777" w:rsidR="00BE6E4B" w:rsidRPr="00BE6E4B" w:rsidRDefault="00BE6E4B" w:rsidP="000B42F7">
            <w:pPr>
              <w:ind w:left="0" w:right="0"/>
              <w:jc w:val="right"/>
              <w:rPr>
                <w:rFonts w:cs="Arial"/>
                <w:color w:val="000000"/>
              </w:rPr>
            </w:pPr>
            <w:r w:rsidRPr="00BE6E4B">
              <w:rPr>
                <w:rFonts w:cs="Arial"/>
                <w:color w:val="000000"/>
              </w:rPr>
              <w:t>0.03</w:t>
            </w:r>
          </w:p>
        </w:tc>
      </w:tr>
      <w:tr w:rsidR="00BE71C3" w:rsidRPr="00BE6E4B" w14:paraId="14F6CA63" w14:textId="77777777" w:rsidTr="000C3FED">
        <w:trPr>
          <w:trHeight w:val="300"/>
        </w:trPr>
        <w:tc>
          <w:tcPr>
            <w:tcW w:w="2096" w:type="dxa"/>
            <w:noWrap/>
            <w:hideMark/>
          </w:tcPr>
          <w:p w14:paraId="11424418" w14:textId="441FCFAE" w:rsidR="00BE6E4B" w:rsidRPr="00BE6E4B" w:rsidRDefault="00BE6E4B" w:rsidP="000B42F7">
            <w:pPr>
              <w:ind w:left="0" w:right="0"/>
              <w:jc w:val="left"/>
              <w:rPr>
                <w:rFonts w:cs="Arial"/>
                <w:color w:val="000000"/>
              </w:rPr>
            </w:pPr>
            <w:r w:rsidRPr="00BE6E4B">
              <w:rPr>
                <w:rFonts w:cs="Arial"/>
                <w:color w:val="000000"/>
              </w:rPr>
              <w:t>Mean C</w:t>
            </w:r>
            <w:r w:rsidR="009649A3" w:rsidRPr="000C3FED">
              <w:rPr>
                <w:rFonts w:cs="Arial"/>
                <w:color w:val="000000"/>
              </w:rPr>
              <w:t>POE</w:t>
            </w:r>
          </w:p>
        </w:tc>
        <w:tc>
          <w:tcPr>
            <w:tcW w:w="1675" w:type="dxa"/>
            <w:noWrap/>
            <w:hideMark/>
          </w:tcPr>
          <w:p w14:paraId="363B0331" w14:textId="77777777" w:rsidR="00BE6E4B" w:rsidRPr="00BE6E4B" w:rsidRDefault="00BE6E4B" w:rsidP="000B42F7">
            <w:pPr>
              <w:ind w:left="0" w:right="0"/>
              <w:jc w:val="right"/>
              <w:rPr>
                <w:rFonts w:cs="Arial"/>
                <w:b/>
                <w:bCs/>
                <w:color w:val="000000"/>
              </w:rPr>
            </w:pPr>
            <w:r w:rsidRPr="00BE6E4B">
              <w:rPr>
                <w:rFonts w:cs="Arial"/>
                <w:b/>
                <w:bCs/>
                <w:color w:val="000000"/>
              </w:rPr>
              <w:t>20</w:t>
            </w:r>
          </w:p>
        </w:tc>
        <w:tc>
          <w:tcPr>
            <w:tcW w:w="846" w:type="dxa"/>
            <w:noWrap/>
            <w:hideMark/>
          </w:tcPr>
          <w:p w14:paraId="10F64AAB" w14:textId="77777777" w:rsidR="00BE6E4B" w:rsidRPr="00BE6E4B" w:rsidRDefault="00BE6E4B" w:rsidP="000B42F7">
            <w:pPr>
              <w:ind w:left="0" w:right="0"/>
              <w:jc w:val="right"/>
              <w:rPr>
                <w:rFonts w:cs="Arial"/>
                <w:color w:val="000000"/>
              </w:rPr>
            </w:pPr>
            <w:r w:rsidRPr="00BE6E4B">
              <w:rPr>
                <w:rFonts w:cs="Arial"/>
                <w:color w:val="000000"/>
              </w:rPr>
              <w:t>-0.41</w:t>
            </w:r>
          </w:p>
        </w:tc>
        <w:tc>
          <w:tcPr>
            <w:tcW w:w="1858" w:type="dxa"/>
            <w:noWrap/>
            <w:hideMark/>
          </w:tcPr>
          <w:p w14:paraId="539B29C2" w14:textId="77777777" w:rsidR="00BE6E4B" w:rsidRPr="00BE6E4B" w:rsidRDefault="00BE6E4B" w:rsidP="000B42F7">
            <w:pPr>
              <w:ind w:left="0" w:right="0"/>
              <w:jc w:val="right"/>
              <w:rPr>
                <w:rFonts w:cs="Arial"/>
                <w:color w:val="000000"/>
              </w:rPr>
            </w:pPr>
            <w:r w:rsidRPr="00BE6E4B">
              <w:rPr>
                <w:rFonts w:cs="Arial"/>
                <w:color w:val="000000"/>
              </w:rPr>
              <w:t>3.22</w:t>
            </w:r>
          </w:p>
        </w:tc>
        <w:tc>
          <w:tcPr>
            <w:tcW w:w="1014" w:type="dxa"/>
            <w:noWrap/>
            <w:hideMark/>
          </w:tcPr>
          <w:p w14:paraId="029DD4B1" w14:textId="77777777" w:rsidR="00BE6E4B" w:rsidRPr="00BE6E4B" w:rsidRDefault="00BE6E4B" w:rsidP="000B42F7">
            <w:pPr>
              <w:ind w:left="0" w:right="0"/>
              <w:jc w:val="right"/>
              <w:rPr>
                <w:rFonts w:cs="Arial"/>
                <w:color w:val="000000"/>
              </w:rPr>
            </w:pPr>
            <w:r w:rsidRPr="00BE6E4B">
              <w:rPr>
                <w:rFonts w:cs="Arial"/>
                <w:color w:val="000000"/>
              </w:rPr>
              <w:t>-9.48</w:t>
            </w:r>
          </w:p>
        </w:tc>
        <w:tc>
          <w:tcPr>
            <w:tcW w:w="888" w:type="dxa"/>
            <w:noWrap/>
            <w:hideMark/>
          </w:tcPr>
          <w:p w14:paraId="7BF53C46" w14:textId="77777777" w:rsidR="00BE6E4B" w:rsidRPr="00BE6E4B" w:rsidRDefault="00BE6E4B" w:rsidP="000B42F7">
            <w:pPr>
              <w:ind w:left="0" w:right="0"/>
              <w:jc w:val="right"/>
              <w:rPr>
                <w:rFonts w:cs="Arial"/>
                <w:color w:val="000000"/>
              </w:rPr>
            </w:pPr>
            <w:r w:rsidRPr="00BE6E4B">
              <w:rPr>
                <w:rFonts w:cs="Arial"/>
                <w:color w:val="000000"/>
              </w:rPr>
              <w:t>8.58</w:t>
            </w:r>
          </w:p>
        </w:tc>
        <w:tc>
          <w:tcPr>
            <w:tcW w:w="973" w:type="dxa"/>
            <w:noWrap/>
            <w:hideMark/>
          </w:tcPr>
          <w:p w14:paraId="0A164F8F" w14:textId="77777777" w:rsidR="00BE6E4B" w:rsidRPr="00BE6E4B" w:rsidRDefault="00BE6E4B" w:rsidP="000B42F7">
            <w:pPr>
              <w:ind w:left="0" w:right="0"/>
              <w:jc w:val="right"/>
              <w:rPr>
                <w:rFonts w:cs="Arial"/>
                <w:color w:val="000000"/>
              </w:rPr>
            </w:pPr>
            <w:r w:rsidRPr="00BE6E4B">
              <w:rPr>
                <w:rFonts w:cs="Arial"/>
                <w:color w:val="000000"/>
              </w:rPr>
              <w:t>18.06</w:t>
            </w:r>
          </w:p>
        </w:tc>
      </w:tr>
      <w:tr w:rsidR="00BE71C3" w:rsidRPr="00BE6E4B" w14:paraId="3A08BACE" w14:textId="77777777" w:rsidTr="000C3FED">
        <w:trPr>
          <w:trHeight w:val="300"/>
        </w:trPr>
        <w:tc>
          <w:tcPr>
            <w:tcW w:w="2096" w:type="dxa"/>
            <w:noWrap/>
            <w:hideMark/>
          </w:tcPr>
          <w:p w14:paraId="5ABEFC99" w14:textId="77777777" w:rsidR="00BE6E4B" w:rsidRPr="00BE6E4B" w:rsidRDefault="00BE6E4B" w:rsidP="000B42F7">
            <w:pPr>
              <w:ind w:left="0" w:right="0"/>
              <w:jc w:val="left"/>
              <w:rPr>
                <w:rFonts w:cs="Arial"/>
                <w:color w:val="000000"/>
              </w:rPr>
            </w:pPr>
            <w:r w:rsidRPr="00BE6E4B">
              <w:rPr>
                <w:rFonts w:cs="Arial"/>
                <w:color w:val="000000"/>
              </w:rPr>
              <w:t>Net Point Differential Change</w:t>
            </w:r>
          </w:p>
        </w:tc>
        <w:tc>
          <w:tcPr>
            <w:tcW w:w="1675" w:type="dxa"/>
            <w:noWrap/>
            <w:hideMark/>
          </w:tcPr>
          <w:p w14:paraId="6BED621B"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0CD98E90" w14:textId="77777777" w:rsidR="00BE6E4B" w:rsidRPr="00BE6E4B" w:rsidRDefault="00BE6E4B" w:rsidP="000B42F7">
            <w:pPr>
              <w:ind w:left="0" w:right="0"/>
              <w:jc w:val="right"/>
              <w:rPr>
                <w:rFonts w:cs="Arial"/>
                <w:color w:val="000000"/>
              </w:rPr>
            </w:pPr>
            <w:r w:rsidRPr="00BE6E4B">
              <w:rPr>
                <w:rFonts w:cs="Arial"/>
                <w:color w:val="000000"/>
              </w:rPr>
              <w:t>52.04</w:t>
            </w:r>
          </w:p>
        </w:tc>
        <w:tc>
          <w:tcPr>
            <w:tcW w:w="1858" w:type="dxa"/>
            <w:noWrap/>
            <w:hideMark/>
          </w:tcPr>
          <w:p w14:paraId="113EDB65" w14:textId="77777777" w:rsidR="00BE6E4B" w:rsidRPr="00BE6E4B" w:rsidRDefault="00BE6E4B" w:rsidP="000B42F7">
            <w:pPr>
              <w:ind w:left="0" w:right="0"/>
              <w:jc w:val="right"/>
              <w:rPr>
                <w:rFonts w:cs="Arial"/>
                <w:color w:val="000000"/>
              </w:rPr>
            </w:pPr>
            <w:r w:rsidRPr="00BE6E4B">
              <w:rPr>
                <w:rFonts w:cs="Arial"/>
                <w:color w:val="000000"/>
              </w:rPr>
              <w:t>144.94</w:t>
            </w:r>
          </w:p>
        </w:tc>
        <w:tc>
          <w:tcPr>
            <w:tcW w:w="1014" w:type="dxa"/>
            <w:noWrap/>
            <w:hideMark/>
          </w:tcPr>
          <w:p w14:paraId="33736432" w14:textId="77777777" w:rsidR="00BE6E4B" w:rsidRPr="00BE6E4B" w:rsidRDefault="00BE6E4B" w:rsidP="000B42F7">
            <w:pPr>
              <w:ind w:left="0" w:right="0"/>
              <w:jc w:val="right"/>
              <w:rPr>
                <w:rFonts w:cs="Arial"/>
                <w:color w:val="000000"/>
              </w:rPr>
            </w:pPr>
            <w:r w:rsidRPr="00BE6E4B">
              <w:rPr>
                <w:rFonts w:cs="Arial"/>
                <w:color w:val="000000"/>
              </w:rPr>
              <w:t>-386.00</w:t>
            </w:r>
          </w:p>
        </w:tc>
        <w:tc>
          <w:tcPr>
            <w:tcW w:w="888" w:type="dxa"/>
            <w:noWrap/>
            <w:hideMark/>
          </w:tcPr>
          <w:p w14:paraId="6CD795F9" w14:textId="77777777" w:rsidR="00BE6E4B" w:rsidRPr="00BE6E4B" w:rsidRDefault="00BE6E4B" w:rsidP="000B42F7">
            <w:pPr>
              <w:ind w:left="0" w:right="0"/>
              <w:jc w:val="right"/>
              <w:rPr>
                <w:rFonts w:cs="Arial"/>
                <w:color w:val="000000"/>
              </w:rPr>
            </w:pPr>
            <w:r w:rsidRPr="00BE6E4B">
              <w:rPr>
                <w:rFonts w:cs="Arial"/>
                <w:color w:val="000000"/>
              </w:rPr>
              <w:t>365.00</w:t>
            </w:r>
          </w:p>
        </w:tc>
        <w:tc>
          <w:tcPr>
            <w:tcW w:w="973" w:type="dxa"/>
            <w:noWrap/>
            <w:hideMark/>
          </w:tcPr>
          <w:p w14:paraId="25A15A0F" w14:textId="77777777" w:rsidR="00BE6E4B" w:rsidRPr="00BE6E4B" w:rsidRDefault="00BE6E4B" w:rsidP="000B42F7">
            <w:pPr>
              <w:ind w:left="0" w:right="0"/>
              <w:jc w:val="right"/>
              <w:rPr>
                <w:rFonts w:cs="Arial"/>
                <w:color w:val="000000"/>
              </w:rPr>
            </w:pPr>
            <w:r w:rsidRPr="00BE6E4B">
              <w:rPr>
                <w:rFonts w:cs="Arial"/>
                <w:color w:val="000000"/>
              </w:rPr>
              <w:t>751.00</w:t>
            </w:r>
          </w:p>
        </w:tc>
      </w:tr>
      <w:tr w:rsidR="00BE71C3" w:rsidRPr="00BE6E4B" w14:paraId="5463D559" w14:textId="77777777" w:rsidTr="000C3FED">
        <w:trPr>
          <w:trHeight w:val="300"/>
        </w:trPr>
        <w:tc>
          <w:tcPr>
            <w:tcW w:w="2096" w:type="dxa"/>
            <w:noWrap/>
            <w:hideMark/>
          </w:tcPr>
          <w:p w14:paraId="7BF34401" w14:textId="77777777" w:rsidR="00BE6E4B" w:rsidRPr="00BE6E4B" w:rsidRDefault="00BE6E4B" w:rsidP="000B42F7">
            <w:pPr>
              <w:ind w:left="0" w:right="0"/>
              <w:jc w:val="left"/>
              <w:rPr>
                <w:rFonts w:cs="Arial"/>
                <w:color w:val="000000"/>
              </w:rPr>
            </w:pPr>
            <w:r w:rsidRPr="00BE6E4B">
              <w:rPr>
                <w:rFonts w:cs="Arial"/>
                <w:color w:val="000000"/>
              </w:rPr>
              <w:t>Net Win Percentage Change</w:t>
            </w:r>
          </w:p>
        </w:tc>
        <w:tc>
          <w:tcPr>
            <w:tcW w:w="1675" w:type="dxa"/>
            <w:noWrap/>
            <w:hideMark/>
          </w:tcPr>
          <w:p w14:paraId="3E84CC08"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07941784" w14:textId="77777777" w:rsidR="00BE6E4B" w:rsidRPr="00BE6E4B" w:rsidRDefault="00BE6E4B" w:rsidP="000B42F7">
            <w:pPr>
              <w:ind w:left="0" w:right="0"/>
              <w:jc w:val="right"/>
              <w:rPr>
                <w:rFonts w:cs="Arial"/>
                <w:color w:val="000000"/>
              </w:rPr>
            </w:pPr>
            <w:r w:rsidRPr="00BE6E4B">
              <w:rPr>
                <w:rFonts w:cs="Arial"/>
                <w:color w:val="000000"/>
              </w:rPr>
              <w:t>0.08</w:t>
            </w:r>
          </w:p>
        </w:tc>
        <w:tc>
          <w:tcPr>
            <w:tcW w:w="1858" w:type="dxa"/>
            <w:noWrap/>
            <w:hideMark/>
          </w:tcPr>
          <w:p w14:paraId="5756D6CD" w14:textId="77777777" w:rsidR="00BE6E4B" w:rsidRPr="00BE6E4B" w:rsidRDefault="00BE6E4B" w:rsidP="000B42F7">
            <w:pPr>
              <w:ind w:left="0" w:right="0"/>
              <w:jc w:val="right"/>
              <w:rPr>
                <w:rFonts w:cs="Arial"/>
                <w:color w:val="000000"/>
              </w:rPr>
            </w:pPr>
            <w:r w:rsidRPr="00BE6E4B">
              <w:rPr>
                <w:rFonts w:cs="Arial"/>
                <w:color w:val="000000"/>
              </w:rPr>
              <w:t>0.19</w:t>
            </w:r>
          </w:p>
        </w:tc>
        <w:tc>
          <w:tcPr>
            <w:tcW w:w="1014" w:type="dxa"/>
            <w:noWrap/>
            <w:hideMark/>
          </w:tcPr>
          <w:p w14:paraId="397B6AFD" w14:textId="77777777" w:rsidR="00BE6E4B" w:rsidRPr="00BE6E4B" w:rsidRDefault="00BE6E4B" w:rsidP="000B42F7">
            <w:pPr>
              <w:ind w:left="0" w:right="0"/>
              <w:jc w:val="right"/>
              <w:rPr>
                <w:rFonts w:cs="Arial"/>
                <w:color w:val="000000"/>
              </w:rPr>
            </w:pPr>
            <w:r w:rsidRPr="00BE6E4B">
              <w:rPr>
                <w:rFonts w:cs="Arial"/>
                <w:color w:val="000000"/>
              </w:rPr>
              <w:t>-0.42</w:t>
            </w:r>
          </w:p>
        </w:tc>
        <w:tc>
          <w:tcPr>
            <w:tcW w:w="888" w:type="dxa"/>
            <w:noWrap/>
            <w:hideMark/>
          </w:tcPr>
          <w:p w14:paraId="4EC430B2" w14:textId="77777777" w:rsidR="00BE6E4B" w:rsidRPr="00BE6E4B" w:rsidRDefault="00BE6E4B" w:rsidP="000B42F7">
            <w:pPr>
              <w:ind w:left="0" w:right="0"/>
              <w:jc w:val="right"/>
              <w:rPr>
                <w:rFonts w:cs="Arial"/>
                <w:color w:val="000000"/>
              </w:rPr>
            </w:pPr>
            <w:r w:rsidRPr="00BE6E4B">
              <w:rPr>
                <w:rFonts w:cs="Arial"/>
                <w:color w:val="000000"/>
              </w:rPr>
              <w:t>0.50</w:t>
            </w:r>
          </w:p>
        </w:tc>
        <w:tc>
          <w:tcPr>
            <w:tcW w:w="973" w:type="dxa"/>
            <w:noWrap/>
            <w:hideMark/>
          </w:tcPr>
          <w:p w14:paraId="578CECC3" w14:textId="77777777" w:rsidR="00BE6E4B" w:rsidRPr="00BE6E4B" w:rsidRDefault="00BE6E4B" w:rsidP="000B42F7">
            <w:pPr>
              <w:ind w:left="0" w:right="0"/>
              <w:jc w:val="right"/>
              <w:rPr>
                <w:rFonts w:cs="Arial"/>
                <w:color w:val="000000"/>
              </w:rPr>
            </w:pPr>
            <w:r w:rsidRPr="00BE6E4B">
              <w:rPr>
                <w:rFonts w:cs="Arial"/>
                <w:color w:val="000000"/>
              </w:rPr>
              <w:t>0.92</w:t>
            </w:r>
          </w:p>
        </w:tc>
      </w:tr>
      <w:tr w:rsidR="00BE71C3" w:rsidRPr="00BE6E4B" w14:paraId="0A42DDC1" w14:textId="77777777" w:rsidTr="000C3FED">
        <w:trPr>
          <w:trHeight w:val="300"/>
        </w:trPr>
        <w:tc>
          <w:tcPr>
            <w:tcW w:w="2096" w:type="dxa"/>
            <w:noWrap/>
            <w:hideMark/>
          </w:tcPr>
          <w:p w14:paraId="14FC8F60" w14:textId="77777777" w:rsidR="00BE6E4B" w:rsidRPr="00BE6E4B" w:rsidRDefault="00BE6E4B" w:rsidP="000B42F7">
            <w:pPr>
              <w:ind w:left="0" w:right="0"/>
              <w:jc w:val="left"/>
              <w:rPr>
                <w:rFonts w:cs="Arial"/>
                <w:color w:val="000000"/>
              </w:rPr>
            </w:pPr>
            <w:r w:rsidRPr="00BE6E4B">
              <w:rPr>
                <w:rFonts w:cs="Arial"/>
                <w:color w:val="000000"/>
              </w:rPr>
              <w:t>Passing Completion Percentage</w:t>
            </w:r>
          </w:p>
        </w:tc>
        <w:tc>
          <w:tcPr>
            <w:tcW w:w="1675" w:type="dxa"/>
            <w:noWrap/>
            <w:hideMark/>
          </w:tcPr>
          <w:p w14:paraId="381519C3"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1C8A170C" w14:textId="77777777" w:rsidR="00BE6E4B" w:rsidRPr="00BE6E4B" w:rsidRDefault="00BE6E4B" w:rsidP="000B42F7">
            <w:pPr>
              <w:ind w:left="0" w:right="0"/>
              <w:jc w:val="right"/>
              <w:rPr>
                <w:rFonts w:cs="Arial"/>
                <w:color w:val="000000"/>
              </w:rPr>
            </w:pPr>
            <w:r w:rsidRPr="00BE6E4B">
              <w:rPr>
                <w:rFonts w:cs="Arial"/>
                <w:color w:val="000000"/>
              </w:rPr>
              <w:t>0.60</w:t>
            </w:r>
          </w:p>
        </w:tc>
        <w:tc>
          <w:tcPr>
            <w:tcW w:w="1858" w:type="dxa"/>
            <w:noWrap/>
            <w:hideMark/>
          </w:tcPr>
          <w:p w14:paraId="78A2EC97" w14:textId="77777777" w:rsidR="00BE6E4B" w:rsidRPr="00BE6E4B" w:rsidRDefault="00BE6E4B" w:rsidP="000B42F7">
            <w:pPr>
              <w:ind w:left="0" w:right="0"/>
              <w:jc w:val="right"/>
              <w:rPr>
                <w:rFonts w:cs="Arial"/>
                <w:color w:val="000000"/>
              </w:rPr>
            </w:pPr>
            <w:r w:rsidRPr="00BE6E4B">
              <w:rPr>
                <w:rFonts w:cs="Arial"/>
                <w:color w:val="000000"/>
              </w:rPr>
              <w:t>0.03</w:t>
            </w:r>
          </w:p>
        </w:tc>
        <w:tc>
          <w:tcPr>
            <w:tcW w:w="1014" w:type="dxa"/>
            <w:noWrap/>
            <w:hideMark/>
          </w:tcPr>
          <w:p w14:paraId="1D5B56C4" w14:textId="77777777" w:rsidR="00BE6E4B" w:rsidRPr="00BE6E4B" w:rsidRDefault="00BE6E4B" w:rsidP="000B42F7">
            <w:pPr>
              <w:ind w:left="0" w:right="0"/>
              <w:jc w:val="right"/>
              <w:rPr>
                <w:rFonts w:cs="Arial"/>
                <w:color w:val="000000"/>
              </w:rPr>
            </w:pPr>
            <w:r w:rsidRPr="00BE6E4B">
              <w:rPr>
                <w:rFonts w:cs="Arial"/>
                <w:color w:val="000000"/>
              </w:rPr>
              <w:t>0.53</w:t>
            </w:r>
          </w:p>
        </w:tc>
        <w:tc>
          <w:tcPr>
            <w:tcW w:w="888" w:type="dxa"/>
            <w:noWrap/>
            <w:hideMark/>
          </w:tcPr>
          <w:p w14:paraId="541C650F" w14:textId="77777777" w:rsidR="00BE6E4B" w:rsidRPr="00BE6E4B" w:rsidRDefault="00BE6E4B" w:rsidP="000B42F7">
            <w:pPr>
              <w:ind w:left="0" w:right="0"/>
              <w:jc w:val="right"/>
              <w:rPr>
                <w:rFonts w:cs="Arial"/>
                <w:color w:val="000000"/>
              </w:rPr>
            </w:pPr>
            <w:r w:rsidRPr="00BE6E4B">
              <w:rPr>
                <w:rFonts w:cs="Arial"/>
                <w:color w:val="000000"/>
              </w:rPr>
              <w:t>0.67</w:t>
            </w:r>
          </w:p>
        </w:tc>
        <w:tc>
          <w:tcPr>
            <w:tcW w:w="973" w:type="dxa"/>
            <w:noWrap/>
            <w:hideMark/>
          </w:tcPr>
          <w:p w14:paraId="605DD1B4" w14:textId="77777777" w:rsidR="00BE6E4B" w:rsidRPr="00BE6E4B" w:rsidRDefault="00BE6E4B" w:rsidP="000B42F7">
            <w:pPr>
              <w:ind w:left="0" w:right="0"/>
              <w:jc w:val="right"/>
              <w:rPr>
                <w:rFonts w:cs="Arial"/>
                <w:color w:val="000000"/>
              </w:rPr>
            </w:pPr>
            <w:r w:rsidRPr="00BE6E4B">
              <w:rPr>
                <w:rFonts w:cs="Arial"/>
                <w:color w:val="000000"/>
              </w:rPr>
              <w:t>0.14</w:t>
            </w:r>
          </w:p>
        </w:tc>
      </w:tr>
      <w:tr w:rsidR="00BE71C3" w:rsidRPr="00BE6E4B" w14:paraId="3D47DC8F" w14:textId="77777777" w:rsidTr="000C3FED">
        <w:trPr>
          <w:trHeight w:val="300"/>
        </w:trPr>
        <w:tc>
          <w:tcPr>
            <w:tcW w:w="2096" w:type="dxa"/>
            <w:noWrap/>
            <w:hideMark/>
          </w:tcPr>
          <w:p w14:paraId="4241F627" w14:textId="77777777" w:rsidR="00BE6E4B" w:rsidRPr="00BE6E4B" w:rsidRDefault="00BE6E4B" w:rsidP="000B42F7">
            <w:pPr>
              <w:ind w:left="0" w:right="0"/>
              <w:jc w:val="left"/>
              <w:rPr>
                <w:rFonts w:cs="Arial"/>
                <w:color w:val="000000"/>
              </w:rPr>
            </w:pPr>
            <w:r w:rsidRPr="00BE6E4B">
              <w:rPr>
                <w:rFonts w:cs="Arial"/>
                <w:color w:val="000000"/>
              </w:rPr>
              <w:t>Passing Yards Per Attempt</w:t>
            </w:r>
          </w:p>
        </w:tc>
        <w:tc>
          <w:tcPr>
            <w:tcW w:w="1675" w:type="dxa"/>
            <w:noWrap/>
            <w:hideMark/>
          </w:tcPr>
          <w:p w14:paraId="778D031E"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77BD84A4" w14:textId="77777777" w:rsidR="00BE6E4B" w:rsidRPr="00BE6E4B" w:rsidRDefault="00BE6E4B" w:rsidP="000B42F7">
            <w:pPr>
              <w:ind w:left="0" w:right="0"/>
              <w:jc w:val="right"/>
              <w:rPr>
                <w:rFonts w:cs="Arial"/>
                <w:color w:val="000000"/>
              </w:rPr>
            </w:pPr>
            <w:r w:rsidRPr="00BE6E4B">
              <w:rPr>
                <w:rFonts w:cs="Arial"/>
                <w:color w:val="000000"/>
              </w:rPr>
              <w:t>6.92</w:t>
            </w:r>
          </w:p>
        </w:tc>
        <w:tc>
          <w:tcPr>
            <w:tcW w:w="1858" w:type="dxa"/>
            <w:noWrap/>
            <w:hideMark/>
          </w:tcPr>
          <w:p w14:paraId="3C967367" w14:textId="77777777" w:rsidR="00BE6E4B" w:rsidRPr="00BE6E4B" w:rsidRDefault="00BE6E4B" w:rsidP="000B42F7">
            <w:pPr>
              <w:ind w:left="0" w:right="0"/>
              <w:jc w:val="right"/>
              <w:rPr>
                <w:rFonts w:cs="Arial"/>
                <w:color w:val="000000"/>
              </w:rPr>
            </w:pPr>
            <w:r w:rsidRPr="00BE6E4B">
              <w:rPr>
                <w:rFonts w:cs="Arial"/>
                <w:color w:val="000000"/>
              </w:rPr>
              <w:t>0.69</w:t>
            </w:r>
          </w:p>
        </w:tc>
        <w:tc>
          <w:tcPr>
            <w:tcW w:w="1014" w:type="dxa"/>
            <w:noWrap/>
            <w:hideMark/>
          </w:tcPr>
          <w:p w14:paraId="72D5F894" w14:textId="77777777" w:rsidR="00BE6E4B" w:rsidRPr="00BE6E4B" w:rsidRDefault="00BE6E4B" w:rsidP="000B42F7">
            <w:pPr>
              <w:ind w:left="0" w:right="0"/>
              <w:jc w:val="right"/>
              <w:rPr>
                <w:rFonts w:cs="Arial"/>
                <w:color w:val="000000"/>
              </w:rPr>
            </w:pPr>
            <w:r w:rsidRPr="00BE6E4B">
              <w:rPr>
                <w:rFonts w:cs="Arial"/>
                <w:color w:val="000000"/>
              </w:rPr>
              <w:t>5.42</w:t>
            </w:r>
          </w:p>
        </w:tc>
        <w:tc>
          <w:tcPr>
            <w:tcW w:w="888" w:type="dxa"/>
            <w:noWrap/>
            <w:hideMark/>
          </w:tcPr>
          <w:p w14:paraId="15AE2E85" w14:textId="77777777" w:rsidR="00BE6E4B" w:rsidRPr="00BE6E4B" w:rsidRDefault="00BE6E4B" w:rsidP="000B42F7">
            <w:pPr>
              <w:ind w:left="0" w:right="0"/>
              <w:jc w:val="right"/>
              <w:rPr>
                <w:rFonts w:cs="Arial"/>
                <w:color w:val="000000"/>
              </w:rPr>
            </w:pPr>
            <w:r w:rsidRPr="00BE6E4B">
              <w:rPr>
                <w:rFonts w:cs="Arial"/>
                <w:color w:val="000000"/>
              </w:rPr>
              <w:t>8.79</w:t>
            </w:r>
          </w:p>
        </w:tc>
        <w:tc>
          <w:tcPr>
            <w:tcW w:w="973" w:type="dxa"/>
            <w:noWrap/>
            <w:hideMark/>
          </w:tcPr>
          <w:p w14:paraId="563B5565" w14:textId="77777777" w:rsidR="00BE6E4B" w:rsidRPr="00BE6E4B" w:rsidRDefault="00BE6E4B" w:rsidP="000B42F7">
            <w:pPr>
              <w:ind w:left="0" w:right="0"/>
              <w:jc w:val="right"/>
              <w:rPr>
                <w:rFonts w:cs="Arial"/>
                <w:color w:val="000000"/>
              </w:rPr>
            </w:pPr>
            <w:r w:rsidRPr="00BE6E4B">
              <w:rPr>
                <w:rFonts w:cs="Arial"/>
                <w:color w:val="000000"/>
              </w:rPr>
              <w:t>3.37</w:t>
            </w:r>
          </w:p>
        </w:tc>
      </w:tr>
      <w:tr w:rsidR="00BE71C3" w:rsidRPr="00BE6E4B" w14:paraId="4F9735E1" w14:textId="77777777" w:rsidTr="000C3FED">
        <w:trPr>
          <w:trHeight w:val="300"/>
        </w:trPr>
        <w:tc>
          <w:tcPr>
            <w:tcW w:w="2096" w:type="dxa"/>
            <w:noWrap/>
            <w:hideMark/>
          </w:tcPr>
          <w:p w14:paraId="08E51DC3" w14:textId="77777777" w:rsidR="00BE6E4B" w:rsidRPr="00BE6E4B" w:rsidRDefault="00BE6E4B" w:rsidP="000B42F7">
            <w:pPr>
              <w:ind w:left="0" w:right="0"/>
              <w:jc w:val="left"/>
              <w:rPr>
                <w:rFonts w:cs="Arial"/>
                <w:color w:val="000000"/>
              </w:rPr>
            </w:pPr>
            <w:r w:rsidRPr="00BE6E4B">
              <w:rPr>
                <w:rFonts w:cs="Arial"/>
                <w:color w:val="000000"/>
              </w:rPr>
              <w:t>Primary Passing Tds Per Game</w:t>
            </w:r>
          </w:p>
        </w:tc>
        <w:tc>
          <w:tcPr>
            <w:tcW w:w="1675" w:type="dxa"/>
            <w:noWrap/>
            <w:hideMark/>
          </w:tcPr>
          <w:p w14:paraId="58B38413"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79DEBC9E" w14:textId="77777777" w:rsidR="00BE6E4B" w:rsidRPr="00BE6E4B" w:rsidRDefault="00BE6E4B" w:rsidP="000B42F7">
            <w:pPr>
              <w:ind w:left="0" w:right="0"/>
              <w:jc w:val="right"/>
              <w:rPr>
                <w:rFonts w:cs="Arial"/>
                <w:color w:val="000000"/>
              </w:rPr>
            </w:pPr>
            <w:r w:rsidRPr="00BE6E4B">
              <w:rPr>
                <w:rFonts w:cs="Arial"/>
                <w:color w:val="000000"/>
              </w:rPr>
              <w:t>1.31</w:t>
            </w:r>
          </w:p>
        </w:tc>
        <w:tc>
          <w:tcPr>
            <w:tcW w:w="1858" w:type="dxa"/>
            <w:noWrap/>
            <w:hideMark/>
          </w:tcPr>
          <w:p w14:paraId="70F6F2EE" w14:textId="77777777" w:rsidR="00BE6E4B" w:rsidRPr="00BE6E4B" w:rsidRDefault="00BE6E4B" w:rsidP="000B42F7">
            <w:pPr>
              <w:ind w:left="0" w:right="0"/>
              <w:jc w:val="right"/>
              <w:rPr>
                <w:rFonts w:cs="Arial"/>
                <w:color w:val="000000"/>
              </w:rPr>
            </w:pPr>
            <w:r w:rsidRPr="00BE6E4B">
              <w:rPr>
                <w:rFonts w:cs="Arial"/>
                <w:color w:val="000000"/>
              </w:rPr>
              <w:t>0.36</w:t>
            </w:r>
          </w:p>
        </w:tc>
        <w:tc>
          <w:tcPr>
            <w:tcW w:w="1014" w:type="dxa"/>
            <w:noWrap/>
            <w:hideMark/>
          </w:tcPr>
          <w:p w14:paraId="4CD28647" w14:textId="77777777" w:rsidR="00BE6E4B" w:rsidRPr="00BE6E4B" w:rsidRDefault="00BE6E4B" w:rsidP="000B42F7">
            <w:pPr>
              <w:ind w:left="0" w:right="0"/>
              <w:jc w:val="right"/>
              <w:rPr>
                <w:rFonts w:cs="Arial"/>
                <w:color w:val="000000"/>
              </w:rPr>
            </w:pPr>
            <w:r w:rsidRPr="00BE6E4B">
              <w:rPr>
                <w:rFonts w:cs="Arial"/>
                <w:color w:val="000000"/>
              </w:rPr>
              <w:t>0.65</w:t>
            </w:r>
          </w:p>
        </w:tc>
        <w:tc>
          <w:tcPr>
            <w:tcW w:w="888" w:type="dxa"/>
            <w:noWrap/>
            <w:hideMark/>
          </w:tcPr>
          <w:p w14:paraId="43762856" w14:textId="77777777" w:rsidR="00BE6E4B" w:rsidRPr="00BE6E4B" w:rsidRDefault="00BE6E4B" w:rsidP="000B42F7">
            <w:pPr>
              <w:ind w:left="0" w:right="0"/>
              <w:jc w:val="right"/>
              <w:rPr>
                <w:rFonts w:cs="Arial"/>
                <w:color w:val="000000"/>
              </w:rPr>
            </w:pPr>
            <w:r w:rsidRPr="00BE6E4B">
              <w:rPr>
                <w:rFonts w:cs="Arial"/>
                <w:color w:val="000000"/>
              </w:rPr>
              <w:t>2.69</w:t>
            </w:r>
          </w:p>
        </w:tc>
        <w:tc>
          <w:tcPr>
            <w:tcW w:w="973" w:type="dxa"/>
            <w:noWrap/>
            <w:hideMark/>
          </w:tcPr>
          <w:p w14:paraId="26F63D37" w14:textId="77777777" w:rsidR="00BE6E4B" w:rsidRPr="00BE6E4B" w:rsidRDefault="00BE6E4B" w:rsidP="000B42F7">
            <w:pPr>
              <w:ind w:left="0" w:right="0"/>
              <w:jc w:val="right"/>
              <w:rPr>
                <w:rFonts w:cs="Arial"/>
                <w:color w:val="000000"/>
              </w:rPr>
            </w:pPr>
            <w:r w:rsidRPr="00BE6E4B">
              <w:rPr>
                <w:rFonts w:cs="Arial"/>
                <w:color w:val="000000"/>
              </w:rPr>
              <w:t>2.04</w:t>
            </w:r>
          </w:p>
        </w:tc>
      </w:tr>
      <w:tr w:rsidR="00BE71C3" w:rsidRPr="00BE6E4B" w14:paraId="7BE18D52" w14:textId="77777777" w:rsidTr="000C3FED">
        <w:trPr>
          <w:trHeight w:val="300"/>
        </w:trPr>
        <w:tc>
          <w:tcPr>
            <w:tcW w:w="2096" w:type="dxa"/>
            <w:noWrap/>
            <w:hideMark/>
          </w:tcPr>
          <w:p w14:paraId="76FADCD7" w14:textId="77777777" w:rsidR="00BE6E4B" w:rsidRPr="00BE6E4B" w:rsidRDefault="00BE6E4B" w:rsidP="000B42F7">
            <w:pPr>
              <w:ind w:left="0" w:right="0"/>
              <w:jc w:val="left"/>
              <w:rPr>
                <w:rFonts w:cs="Arial"/>
                <w:color w:val="000000"/>
              </w:rPr>
            </w:pPr>
            <w:r w:rsidRPr="00BE6E4B">
              <w:rPr>
                <w:rFonts w:cs="Arial"/>
                <w:color w:val="000000"/>
              </w:rPr>
              <w:t>Primary Rushing Tds Per Game</w:t>
            </w:r>
          </w:p>
        </w:tc>
        <w:tc>
          <w:tcPr>
            <w:tcW w:w="1675" w:type="dxa"/>
            <w:noWrap/>
            <w:hideMark/>
          </w:tcPr>
          <w:p w14:paraId="10F717B9"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7255D22C" w14:textId="77777777" w:rsidR="00BE6E4B" w:rsidRPr="00BE6E4B" w:rsidRDefault="00BE6E4B" w:rsidP="000B42F7">
            <w:pPr>
              <w:ind w:left="0" w:right="0"/>
              <w:jc w:val="right"/>
              <w:rPr>
                <w:rFonts w:cs="Arial"/>
                <w:color w:val="000000"/>
              </w:rPr>
            </w:pPr>
            <w:r w:rsidRPr="00BE6E4B">
              <w:rPr>
                <w:rFonts w:cs="Arial"/>
                <w:color w:val="000000"/>
              </w:rPr>
              <w:t>0.15</w:t>
            </w:r>
          </w:p>
        </w:tc>
        <w:tc>
          <w:tcPr>
            <w:tcW w:w="1858" w:type="dxa"/>
            <w:noWrap/>
            <w:hideMark/>
          </w:tcPr>
          <w:p w14:paraId="616CC424" w14:textId="77777777" w:rsidR="00BE6E4B" w:rsidRPr="00BE6E4B" w:rsidRDefault="00BE6E4B" w:rsidP="000B42F7">
            <w:pPr>
              <w:ind w:left="0" w:right="0"/>
              <w:jc w:val="right"/>
              <w:rPr>
                <w:rFonts w:cs="Arial"/>
                <w:color w:val="000000"/>
              </w:rPr>
            </w:pPr>
            <w:r w:rsidRPr="00BE6E4B">
              <w:rPr>
                <w:rFonts w:cs="Arial"/>
                <w:color w:val="000000"/>
              </w:rPr>
              <w:t>0.15</w:t>
            </w:r>
          </w:p>
        </w:tc>
        <w:tc>
          <w:tcPr>
            <w:tcW w:w="1014" w:type="dxa"/>
            <w:noWrap/>
            <w:hideMark/>
          </w:tcPr>
          <w:p w14:paraId="24AD711F" w14:textId="77777777" w:rsidR="00BE6E4B" w:rsidRPr="00BE6E4B" w:rsidRDefault="00BE6E4B" w:rsidP="000B42F7">
            <w:pPr>
              <w:ind w:left="0" w:right="0"/>
              <w:jc w:val="right"/>
              <w:rPr>
                <w:rFonts w:cs="Arial"/>
                <w:color w:val="000000"/>
              </w:rPr>
            </w:pPr>
            <w:r w:rsidRPr="00BE6E4B">
              <w:rPr>
                <w:rFonts w:cs="Arial"/>
                <w:color w:val="000000"/>
              </w:rPr>
              <w:t>0.00</w:t>
            </w:r>
          </w:p>
        </w:tc>
        <w:tc>
          <w:tcPr>
            <w:tcW w:w="888" w:type="dxa"/>
            <w:noWrap/>
            <w:hideMark/>
          </w:tcPr>
          <w:p w14:paraId="2CD97626" w14:textId="77777777" w:rsidR="00BE6E4B" w:rsidRPr="00BE6E4B" w:rsidRDefault="00BE6E4B" w:rsidP="000B42F7">
            <w:pPr>
              <w:ind w:left="0" w:right="0"/>
              <w:jc w:val="right"/>
              <w:rPr>
                <w:rFonts w:cs="Arial"/>
                <w:color w:val="000000"/>
              </w:rPr>
            </w:pPr>
            <w:r w:rsidRPr="00BE6E4B">
              <w:rPr>
                <w:rFonts w:cs="Arial"/>
                <w:color w:val="000000"/>
              </w:rPr>
              <w:t>0.73</w:t>
            </w:r>
          </w:p>
        </w:tc>
        <w:tc>
          <w:tcPr>
            <w:tcW w:w="973" w:type="dxa"/>
            <w:noWrap/>
            <w:hideMark/>
          </w:tcPr>
          <w:p w14:paraId="2D965903" w14:textId="77777777" w:rsidR="00BE6E4B" w:rsidRPr="00BE6E4B" w:rsidRDefault="00BE6E4B" w:rsidP="000B42F7">
            <w:pPr>
              <w:ind w:left="0" w:right="0"/>
              <w:jc w:val="right"/>
              <w:rPr>
                <w:rFonts w:cs="Arial"/>
                <w:color w:val="000000"/>
              </w:rPr>
            </w:pPr>
            <w:r w:rsidRPr="00BE6E4B">
              <w:rPr>
                <w:rFonts w:cs="Arial"/>
                <w:color w:val="000000"/>
              </w:rPr>
              <w:t>0.73</w:t>
            </w:r>
          </w:p>
        </w:tc>
      </w:tr>
      <w:tr w:rsidR="00BE71C3" w:rsidRPr="00BE6E4B" w14:paraId="249D30BA" w14:textId="77777777" w:rsidTr="000C3FED">
        <w:trPr>
          <w:trHeight w:val="300"/>
        </w:trPr>
        <w:tc>
          <w:tcPr>
            <w:tcW w:w="2096" w:type="dxa"/>
            <w:noWrap/>
            <w:hideMark/>
          </w:tcPr>
          <w:p w14:paraId="16F77CB3" w14:textId="77777777" w:rsidR="00BE6E4B" w:rsidRPr="00BE6E4B" w:rsidRDefault="00BE6E4B" w:rsidP="000B42F7">
            <w:pPr>
              <w:ind w:left="0" w:right="0"/>
              <w:jc w:val="left"/>
              <w:rPr>
                <w:rFonts w:cs="Arial"/>
                <w:color w:val="000000"/>
              </w:rPr>
            </w:pPr>
            <w:r w:rsidRPr="00BE6E4B">
              <w:rPr>
                <w:rFonts w:cs="Arial"/>
                <w:color w:val="000000"/>
              </w:rPr>
              <w:t>Rushing Yards Per Attempt</w:t>
            </w:r>
          </w:p>
        </w:tc>
        <w:tc>
          <w:tcPr>
            <w:tcW w:w="1675" w:type="dxa"/>
            <w:noWrap/>
            <w:hideMark/>
          </w:tcPr>
          <w:p w14:paraId="2F77A6E3"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1C4A0D5C" w14:textId="77777777" w:rsidR="00BE6E4B" w:rsidRPr="00BE6E4B" w:rsidRDefault="00BE6E4B" w:rsidP="000B42F7">
            <w:pPr>
              <w:ind w:left="0" w:right="0"/>
              <w:jc w:val="right"/>
              <w:rPr>
                <w:rFonts w:cs="Arial"/>
                <w:color w:val="000000"/>
              </w:rPr>
            </w:pPr>
            <w:r w:rsidRPr="00BE6E4B">
              <w:rPr>
                <w:rFonts w:cs="Arial"/>
                <w:color w:val="000000"/>
              </w:rPr>
              <w:t>3.91</w:t>
            </w:r>
          </w:p>
        </w:tc>
        <w:tc>
          <w:tcPr>
            <w:tcW w:w="1858" w:type="dxa"/>
            <w:noWrap/>
            <w:hideMark/>
          </w:tcPr>
          <w:p w14:paraId="5FEF536B" w14:textId="77777777" w:rsidR="00BE6E4B" w:rsidRPr="00BE6E4B" w:rsidRDefault="00BE6E4B" w:rsidP="000B42F7">
            <w:pPr>
              <w:ind w:left="0" w:right="0"/>
              <w:jc w:val="right"/>
              <w:rPr>
                <w:rFonts w:cs="Arial"/>
                <w:color w:val="000000"/>
              </w:rPr>
            </w:pPr>
            <w:r w:rsidRPr="00BE6E4B">
              <w:rPr>
                <w:rFonts w:cs="Arial"/>
                <w:color w:val="000000"/>
              </w:rPr>
              <w:t>1.51</w:t>
            </w:r>
          </w:p>
        </w:tc>
        <w:tc>
          <w:tcPr>
            <w:tcW w:w="1014" w:type="dxa"/>
            <w:noWrap/>
            <w:hideMark/>
          </w:tcPr>
          <w:p w14:paraId="7B601745" w14:textId="77777777" w:rsidR="00BE6E4B" w:rsidRPr="00BE6E4B" w:rsidRDefault="00BE6E4B" w:rsidP="000B42F7">
            <w:pPr>
              <w:ind w:left="0" w:right="0"/>
              <w:jc w:val="right"/>
              <w:rPr>
                <w:rFonts w:cs="Arial"/>
                <w:color w:val="000000"/>
              </w:rPr>
            </w:pPr>
            <w:r w:rsidRPr="00BE6E4B">
              <w:rPr>
                <w:rFonts w:cs="Arial"/>
                <w:color w:val="000000"/>
              </w:rPr>
              <w:t>1.00</w:t>
            </w:r>
          </w:p>
        </w:tc>
        <w:tc>
          <w:tcPr>
            <w:tcW w:w="888" w:type="dxa"/>
            <w:noWrap/>
            <w:hideMark/>
          </w:tcPr>
          <w:p w14:paraId="3069A562" w14:textId="77777777" w:rsidR="00BE6E4B" w:rsidRPr="00BE6E4B" w:rsidRDefault="00BE6E4B" w:rsidP="000B42F7">
            <w:pPr>
              <w:ind w:left="0" w:right="0"/>
              <w:jc w:val="right"/>
              <w:rPr>
                <w:rFonts w:cs="Arial"/>
                <w:color w:val="000000"/>
              </w:rPr>
            </w:pPr>
            <w:r w:rsidRPr="00BE6E4B">
              <w:rPr>
                <w:rFonts w:cs="Arial"/>
                <w:color w:val="000000"/>
              </w:rPr>
              <w:t>6.98</w:t>
            </w:r>
          </w:p>
        </w:tc>
        <w:tc>
          <w:tcPr>
            <w:tcW w:w="973" w:type="dxa"/>
            <w:noWrap/>
            <w:hideMark/>
          </w:tcPr>
          <w:p w14:paraId="5FFA690E" w14:textId="77777777" w:rsidR="00BE6E4B" w:rsidRPr="00BE6E4B" w:rsidRDefault="00BE6E4B" w:rsidP="000B42F7">
            <w:pPr>
              <w:ind w:left="0" w:right="0"/>
              <w:jc w:val="right"/>
              <w:rPr>
                <w:rFonts w:cs="Arial"/>
                <w:color w:val="000000"/>
              </w:rPr>
            </w:pPr>
            <w:r w:rsidRPr="00BE6E4B">
              <w:rPr>
                <w:rFonts w:cs="Arial"/>
                <w:color w:val="000000"/>
              </w:rPr>
              <w:t>5.98</w:t>
            </w:r>
          </w:p>
        </w:tc>
      </w:tr>
      <w:tr w:rsidR="00BE71C3" w:rsidRPr="00BE6E4B" w14:paraId="73CF5172" w14:textId="77777777" w:rsidTr="000C3FED">
        <w:trPr>
          <w:trHeight w:val="300"/>
        </w:trPr>
        <w:tc>
          <w:tcPr>
            <w:tcW w:w="2096" w:type="dxa"/>
            <w:noWrap/>
            <w:hideMark/>
          </w:tcPr>
          <w:p w14:paraId="3D6325F7" w14:textId="77777777" w:rsidR="00BE6E4B" w:rsidRPr="00BE6E4B" w:rsidRDefault="00BE6E4B" w:rsidP="000B42F7">
            <w:pPr>
              <w:ind w:left="0" w:right="0"/>
              <w:jc w:val="left"/>
              <w:rPr>
                <w:rFonts w:cs="Arial"/>
                <w:color w:val="000000"/>
              </w:rPr>
            </w:pPr>
            <w:r w:rsidRPr="00BE6E4B">
              <w:rPr>
                <w:rFonts w:cs="Arial"/>
                <w:color w:val="000000"/>
              </w:rPr>
              <w:t>Sacks Per Play</w:t>
            </w:r>
          </w:p>
        </w:tc>
        <w:tc>
          <w:tcPr>
            <w:tcW w:w="1675" w:type="dxa"/>
            <w:noWrap/>
            <w:hideMark/>
          </w:tcPr>
          <w:p w14:paraId="1FB438C5"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5FF28E58" w14:textId="77777777" w:rsidR="00BE6E4B" w:rsidRPr="00BE6E4B" w:rsidRDefault="00BE6E4B" w:rsidP="000B42F7">
            <w:pPr>
              <w:ind w:left="0" w:right="0"/>
              <w:jc w:val="right"/>
              <w:rPr>
                <w:rFonts w:cs="Arial"/>
                <w:color w:val="000000"/>
              </w:rPr>
            </w:pPr>
            <w:r w:rsidRPr="00BE6E4B">
              <w:rPr>
                <w:rFonts w:cs="Arial"/>
                <w:color w:val="000000"/>
              </w:rPr>
              <w:t>0.06</w:t>
            </w:r>
          </w:p>
        </w:tc>
        <w:tc>
          <w:tcPr>
            <w:tcW w:w="1858" w:type="dxa"/>
            <w:noWrap/>
            <w:hideMark/>
          </w:tcPr>
          <w:p w14:paraId="774BA952" w14:textId="77777777" w:rsidR="00BE6E4B" w:rsidRPr="00BE6E4B" w:rsidRDefault="00BE6E4B" w:rsidP="000B42F7">
            <w:pPr>
              <w:ind w:left="0" w:right="0"/>
              <w:jc w:val="right"/>
              <w:rPr>
                <w:rFonts w:cs="Arial"/>
                <w:color w:val="000000"/>
              </w:rPr>
            </w:pPr>
            <w:r w:rsidRPr="00BE6E4B">
              <w:rPr>
                <w:rFonts w:cs="Arial"/>
                <w:color w:val="000000"/>
              </w:rPr>
              <w:t>0.02</w:t>
            </w:r>
          </w:p>
        </w:tc>
        <w:tc>
          <w:tcPr>
            <w:tcW w:w="1014" w:type="dxa"/>
            <w:noWrap/>
            <w:hideMark/>
          </w:tcPr>
          <w:p w14:paraId="2CABA973" w14:textId="77777777" w:rsidR="00BE6E4B" w:rsidRPr="00BE6E4B" w:rsidRDefault="00BE6E4B" w:rsidP="000B42F7">
            <w:pPr>
              <w:ind w:left="0" w:right="0"/>
              <w:jc w:val="right"/>
              <w:rPr>
                <w:rFonts w:cs="Arial"/>
                <w:color w:val="000000"/>
              </w:rPr>
            </w:pPr>
            <w:r w:rsidRPr="00BE6E4B">
              <w:rPr>
                <w:rFonts w:cs="Arial"/>
                <w:color w:val="000000"/>
              </w:rPr>
              <w:t>0.02</w:t>
            </w:r>
          </w:p>
        </w:tc>
        <w:tc>
          <w:tcPr>
            <w:tcW w:w="888" w:type="dxa"/>
            <w:noWrap/>
            <w:hideMark/>
          </w:tcPr>
          <w:p w14:paraId="50906197" w14:textId="77777777" w:rsidR="00BE6E4B" w:rsidRPr="00BE6E4B" w:rsidRDefault="00BE6E4B" w:rsidP="000B42F7">
            <w:pPr>
              <w:ind w:left="0" w:right="0"/>
              <w:jc w:val="right"/>
              <w:rPr>
                <w:rFonts w:cs="Arial"/>
                <w:color w:val="000000"/>
              </w:rPr>
            </w:pPr>
            <w:r w:rsidRPr="00BE6E4B">
              <w:rPr>
                <w:rFonts w:cs="Arial"/>
                <w:color w:val="000000"/>
              </w:rPr>
              <w:t>0.11</w:t>
            </w:r>
          </w:p>
        </w:tc>
        <w:tc>
          <w:tcPr>
            <w:tcW w:w="973" w:type="dxa"/>
            <w:noWrap/>
            <w:hideMark/>
          </w:tcPr>
          <w:p w14:paraId="4DFCBC44" w14:textId="77777777" w:rsidR="00BE6E4B" w:rsidRPr="00BE6E4B" w:rsidRDefault="00BE6E4B" w:rsidP="000B42F7">
            <w:pPr>
              <w:ind w:left="0" w:right="0"/>
              <w:jc w:val="right"/>
              <w:rPr>
                <w:rFonts w:cs="Arial"/>
                <w:color w:val="000000"/>
              </w:rPr>
            </w:pPr>
            <w:r w:rsidRPr="00BE6E4B">
              <w:rPr>
                <w:rFonts w:cs="Arial"/>
                <w:color w:val="000000"/>
              </w:rPr>
              <w:t>0.09</w:t>
            </w:r>
          </w:p>
        </w:tc>
      </w:tr>
      <w:tr w:rsidR="00BE71C3" w:rsidRPr="00BE6E4B" w14:paraId="65AB32CE" w14:textId="77777777" w:rsidTr="000C3FED">
        <w:trPr>
          <w:trHeight w:val="300"/>
        </w:trPr>
        <w:tc>
          <w:tcPr>
            <w:tcW w:w="2096" w:type="dxa"/>
            <w:noWrap/>
            <w:hideMark/>
          </w:tcPr>
          <w:p w14:paraId="73746CF6" w14:textId="77777777" w:rsidR="00BE6E4B" w:rsidRPr="00BE6E4B" w:rsidRDefault="00BE6E4B" w:rsidP="000B42F7">
            <w:pPr>
              <w:ind w:left="0" w:right="0"/>
              <w:jc w:val="left"/>
              <w:rPr>
                <w:rFonts w:cs="Arial"/>
                <w:color w:val="000000"/>
              </w:rPr>
            </w:pPr>
            <w:r w:rsidRPr="00BE6E4B">
              <w:rPr>
                <w:rFonts w:cs="Arial"/>
                <w:color w:val="000000"/>
              </w:rPr>
              <w:t>Turnovers Per Attempt</w:t>
            </w:r>
          </w:p>
        </w:tc>
        <w:tc>
          <w:tcPr>
            <w:tcW w:w="1675" w:type="dxa"/>
            <w:noWrap/>
            <w:hideMark/>
          </w:tcPr>
          <w:p w14:paraId="5484FE98"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0D27F659" w14:textId="77777777" w:rsidR="00BE6E4B" w:rsidRPr="00BE6E4B" w:rsidRDefault="00BE6E4B" w:rsidP="000B42F7">
            <w:pPr>
              <w:ind w:left="0" w:right="0"/>
              <w:jc w:val="right"/>
              <w:rPr>
                <w:rFonts w:cs="Arial"/>
                <w:color w:val="000000"/>
              </w:rPr>
            </w:pPr>
            <w:r w:rsidRPr="00BE6E4B">
              <w:rPr>
                <w:rFonts w:cs="Arial"/>
                <w:color w:val="000000"/>
              </w:rPr>
              <w:t>0.03</w:t>
            </w:r>
          </w:p>
        </w:tc>
        <w:tc>
          <w:tcPr>
            <w:tcW w:w="1858" w:type="dxa"/>
            <w:noWrap/>
            <w:hideMark/>
          </w:tcPr>
          <w:p w14:paraId="512261BD" w14:textId="77777777" w:rsidR="00BE6E4B" w:rsidRPr="00BE6E4B" w:rsidRDefault="00BE6E4B" w:rsidP="000B42F7">
            <w:pPr>
              <w:ind w:left="0" w:right="0"/>
              <w:jc w:val="right"/>
              <w:rPr>
                <w:rFonts w:cs="Arial"/>
                <w:color w:val="000000"/>
              </w:rPr>
            </w:pPr>
            <w:r w:rsidRPr="00BE6E4B">
              <w:rPr>
                <w:rFonts w:cs="Arial"/>
                <w:color w:val="000000"/>
              </w:rPr>
              <w:t>0.01</w:t>
            </w:r>
          </w:p>
        </w:tc>
        <w:tc>
          <w:tcPr>
            <w:tcW w:w="1014" w:type="dxa"/>
            <w:noWrap/>
            <w:hideMark/>
          </w:tcPr>
          <w:p w14:paraId="2F0C6C59" w14:textId="77777777" w:rsidR="00BE6E4B" w:rsidRPr="00BE6E4B" w:rsidRDefault="00BE6E4B" w:rsidP="000B42F7">
            <w:pPr>
              <w:ind w:left="0" w:right="0"/>
              <w:jc w:val="right"/>
              <w:rPr>
                <w:rFonts w:cs="Arial"/>
                <w:color w:val="000000"/>
              </w:rPr>
            </w:pPr>
            <w:r w:rsidRPr="00BE6E4B">
              <w:rPr>
                <w:rFonts w:cs="Arial"/>
                <w:color w:val="000000"/>
              </w:rPr>
              <w:t>0.01</w:t>
            </w:r>
          </w:p>
        </w:tc>
        <w:tc>
          <w:tcPr>
            <w:tcW w:w="888" w:type="dxa"/>
            <w:noWrap/>
            <w:hideMark/>
          </w:tcPr>
          <w:p w14:paraId="0AA56043" w14:textId="77777777" w:rsidR="00BE6E4B" w:rsidRPr="00BE6E4B" w:rsidRDefault="00BE6E4B" w:rsidP="000B42F7">
            <w:pPr>
              <w:ind w:left="0" w:right="0"/>
              <w:jc w:val="right"/>
              <w:rPr>
                <w:rFonts w:cs="Arial"/>
                <w:color w:val="000000"/>
              </w:rPr>
            </w:pPr>
            <w:r w:rsidRPr="00BE6E4B">
              <w:rPr>
                <w:rFonts w:cs="Arial"/>
                <w:color w:val="000000"/>
              </w:rPr>
              <w:t>0.05</w:t>
            </w:r>
          </w:p>
        </w:tc>
        <w:tc>
          <w:tcPr>
            <w:tcW w:w="973" w:type="dxa"/>
            <w:noWrap/>
            <w:hideMark/>
          </w:tcPr>
          <w:p w14:paraId="056A9A39" w14:textId="77777777" w:rsidR="00BE6E4B" w:rsidRPr="00BE6E4B" w:rsidRDefault="00BE6E4B" w:rsidP="000B42F7">
            <w:pPr>
              <w:ind w:left="0" w:right="0"/>
              <w:jc w:val="right"/>
              <w:rPr>
                <w:rFonts w:cs="Arial"/>
                <w:color w:val="000000"/>
              </w:rPr>
            </w:pPr>
            <w:r w:rsidRPr="00BE6E4B">
              <w:rPr>
                <w:rFonts w:cs="Arial"/>
                <w:color w:val="000000"/>
              </w:rPr>
              <w:t>0.03</w:t>
            </w:r>
          </w:p>
        </w:tc>
      </w:tr>
    </w:tbl>
    <w:p w14:paraId="64F15D4E" w14:textId="0942671C" w:rsidR="00573B21" w:rsidRDefault="00573B21" w:rsidP="000B42F7">
      <w:pPr>
        <w:ind w:right="0"/>
      </w:pPr>
    </w:p>
    <w:p w14:paraId="537A4D33" w14:textId="23792FDE" w:rsidR="00BE6E4B" w:rsidRDefault="00BE6E4B" w:rsidP="000B42F7">
      <w:pPr>
        <w:ind w:right="0"/>
      </w:pPr>
      <w:r>
        <w:t xml:space="preserve">The analysis to support Research Question 1 removed 27 quarterbacks who did not play their first season in 2018 or prior because they have not been in the league </w:t>
      </w:r>
      <w:r w:rsidR="009649A3">
        <w:t xml:space="preserve">long enough to play the median 71 games, and therefore should not disqualify as a Franchise QB. </w:t>
      </w:r>
      <w:r w:rsidR="009649A3">
        <w:fldChar w:fldCharType="begin"/>
      </w:r>
      <w:r w:rsidR="009649A3">
        <w:instrText xml:space="preserve"> REF _Ref117702736 \h </w:instrText>
      </w:r>
      <w:r w:rsidR="009649A3">
        <w:fldChar w:fldCharType="separate"/>
      </w:r>
      <w:r w:rsidR="009649A3">
        <w:t xml:space="preserve">Table </w:t>
      </w:r>
      <w:r w:rsidR="009649A3">
        <w:rPr>
          <w:noProof/>
        </w:rPr>
        <w:t>3</w:t>
      </w:r>
      <w:r w:rsidR="009649A3">
        <w:t>. Numerical Summary of Predictor Variables</w:t>
      </w:r>
      <w:r w:rsidR="009649A3">
        <w:fldChar w:fldCharType="end"/>
      </w:r>
      <w:r w:rsidR="009649A3">
        <w:t xml:space="preserve"> reflects the numerical summary of the predictor variables. Per the nflfastR documentation, Mean CPOE is only available for the 2006 season and later and </w:t>
      </w:r>
      <w:r w:rsidR="009649A3">
        <w:lastRenderedPageBreak/>
        <w:t>causes the 20 missing values for QBs who started their careers earlier in the data.</w:t>
      </w:r>
      <w:r w:rsidR="007534DF">
        <w:t xml:space="preserve"> Otherwise, </w:t>
      </w:r>
      <w:r w:rsidR="00EE3D81">
        <w:fldChar w:fldCharType="begin"/>
      </w:r>
      <w:r w:rsidR="00EE3D81">
        <w:instrText xml:space="preserve"> REF _Ref117703057 \h </w:instrText>
      </w:r>
      <w:r w:rsidR="00EE3D81">
        <w:fldChar w:fldCharType="separate"/>
      </w:r>
      <w:r w:rsidR="00EE3D81">
        <w:t>Appendix B: Histograms of Franchise QB Predictor Variables</w:t>
      </w:r>
      <w:r w:rsidR="00EE3D81">
        <w:fldChar w:fldCharType="end"/>
      </w:r>
      <w:r w:rsidR="00EE3D81">
        <w:t xml:space="preserve"> shows most variables have an approximately normal distribution. Skewness exists in Primary Rushing TDs per Game and arguably in Net Point Differential Change, but neither are concerning enough to warrant transformation of variables.</w:t>
      </w:r>
    </w:p>
    <w:p w14:paraId="7B2E1337" w14:textId="31A40E55" w:rsidR="00BE71C3" w:rsidRDefault="00BE71C3" w:rsidP="000B42F7">
      <w:pPr>
        <w:ind w:right="0"/>
      </w:pPr>
    </w:p>
    <w:p w14:paraId="7379B377" w14:textId="09EB871B" w:rsidR="00263903" w:rsidRDefault="00263903" w:rsidP="000B42F7">
      <w:pPr>
        <w:pStyle w:val="Caption"/>
        <w:ind w:right="0"/>
      </w:pPr>
      <w:r>
        <w:t xml:space="preserve">Table </w:t>
      </w:r>
      <w:r>
        <w:fldChar w:fldCharType="begin"/>
      </w:r>
      <w:r>
        <w:instrText xml:space="preserve"> SEQ Table \* ARABIC </w:instrText>
      </w:r>
      <w:r>
        <w:fldChar w:fldCharType="separate"/>
      </w:r>
      <w:r w:rsidR="00E02EAD">
        <w:rPr>
          <w:noProof/>
        </w:rPr>
        <w:t>4</w:t>
      </w:r>
      <w:r>
        <w:fldChar w:fldCharType="end"/>
      </w:r>
      <w:r>
        <w:t>. Numerical Summary of Contract Predictor Variables</w:t>
      </w:r>
    </w:p>
    <w:tbl>
      <w:tblPr>
        <w:tblStyle w:val="TableGrid"/>
        <w:tblW w:w="0" w:type="auto"/>
        <w:tblInd w:w="720" w:type="dxa"/>
        <w:tblLook w:val="04A0" w:firstRow="1" w:lastRow="0" w:firstColumn="1" w:lastColumn="0" w:noHBand="0" w:noVBand="1"/>
      </w:tblPr>
      <w:tblGrid>
        <w:gridCol w:w="1944"/>
        <w:gridCol w:w="1624"/>
        <w:gridCol w:w="985"/>
        <w:gridCol w:w="1472"/>
        <w:gridCol w:w="1023"/>
        <w:gridCol w:w="1168"/>
        <w:gridCol w:w="1134"/>
      </w:tblGrid>
      <w:tr w:rsidR="00263903" w:rsidRPr="00BE6E4B" w14:paraId="3E424739" w14:textId="77777777" w:rsidTr="000C3FED">
        <w:trPr>
          <w:trHeight w:val="300"/>
        </w:trPr>
        <w:tc>
          <w:tcPr>
            <w:tcW w:w="1944" w:type="dxa"/>
            <w:noWrap/>
            <w:hideMark/>
          </w:tcPr>
          <w:p w14:paraId="13F2A100" w14:textId="77777777" w:rsidR="00263903" w:rsidRPr="00BE6E4B" w:rsidRDefault="00263903" w:rsidP="000B42F7">
            <w:pPr>
              <w:ind w:left="0" w:right="0"/>
              <w:jc w:val="center"/>
              <w:rPr>
                <w:rFonts w:cs="Arial"/>
                <w:b/>
                <w:bCs/>
                <w:color w:val="000000"/>
              </w:rPr>
            </w:pPr>
            <w:r w:rsidRPr="00BE6E4B">
              <w:rPr>
                <w:rFonts w:cs="Arial"/>
                <w:b/>
                <w:bCs/>
                <w:color w:val="000000"/>
              </w:rPr>
              <w:t>Variable</w:t>
            </w:r>
          </w:p>
        </w:tc>
        <w:tc>
          <w:tcPr>
            <w:tcW w:w="1624" w:type="dxa"/>
            <w:noWrap/>
            <w:hideMark/>
          </w:tcPr>
          <w:p w14:paraId="5E17417C" w14:textId="77777777" w:rsidR="00263903" w:rsidRPr="00BE6E4B" w:rsidRDefault="00263903" w:rsidP="000B42F7">
            <w:pPr>
              <w:ind w:left="0" w:right="0"/>
              <w:jc w:val="center"/>
              <w:rPr>
                <w:rFonts w:cs="Arial"/>
                <w:b/>
                <w:bCs/>
                <w:color w:val="000000"/>
              </w:rPr>
            </w:pPr>
            <w:r w:rsidRPr="00BE6E4B">
              <w:rPr>
                <w:rFonts w:cs="Arial"/>
                <w:b/>
                <w:bCs/>
                <w:color w:val="000000"/>
              </w:rPr>
              <w:t>Missing Values</w:t>
            </w:r>
          </w:p>
        </w:tc>
        <w:tc>
          <w:tcPr>
            <w:tcW w:w="985" w:type="dxa"/>
            <w:noWrap/>
            <w:hideMark/>
          </w:tcPr>
          <w:p w14:paraId="3D380CA3" w14:textId="77777777" w:rsidR="00263903" w:rsidRPr="00BE6E4B" w:rsidRDefault="00263903" w:rsidP="000B42F7">
            <w:pPr>
              <w:ind w:left="0" w:right="0"/>
              <w:jc w:val="center"/>
              <w:rPr>
                <w:rFonts w:cs="Arial"/>
                <w:b/>
                <w:bCs/>
                <w:color w:val="000000"/>
              </w:rPr>
            </w:pPr>
            <w:r w:rsidRPr="00BE6E4B">
              <w:rPr>
                <w:rFonts w:cs="Arial"/>
                <w:b/>
                <w:bCs/>
                <w:color w:val="000000"/>
              </w:rPr>
              <w:t>Mean</w:t>
            </w:r>
          </w:p>
        </w:tc>
        <w:tc>
          <w:tcPr>
            <w:tcW w:w="1472" w:type="dxa"/>
            <w:noWrap/>
            <w:hideMark/>
          </w:tcPr>
          <w:p w14:paraId="2A4993D8" w14:textId="77777777" w:rsidR="00263903" w:rsidRPr="00BE6E4B" w:rsidRDefault="00263903" w:rsidP="000B42F7">
            <w:pPr>
              <w:ind w:left="0" w:right="0"/>
              <w:jc w:val="center"/>
              <w:rPr>
                <w:rFonts w:cs="Arial"/>
                <w:b/>
                <w:bCs/>
                <w:color w:val="000000"/>
              </w:rPr>
            </w:pPr>
            <w:r w:rsidRPr="00BE6E4B">
              <w:rPr>
                <w:rFonts w:cs="Arial"/>
                <w:b/>
                <w:bCs/>
                <w:color w:val="000000"/>
              </w:rPr>
              <w:t>Standard Deviation</w:t>
            </w:r>
          </w:p>
        </w:tc>
        <w:tc>
          <w:tcPr>
            <w:tcW w:w="1023" w:type="dxa"/>
            <w:noWrap/>
            <w:hideMark/>
          </w:tcPr>
          <w:p w14:paraId="63B99C02" w14:textId="77777777" w:rsidR="00263903" w:rsidRPr="00BE6E4B" w:rsidRDefault="00263903" w:rsidP="000B42F7">
            <w:pPr>
              <w:ind w:left="0" w:right="0"/>
              <w:jc w:val="center"/>
              <w:rPr>
                <w:rFonts w:cs="Arial"/>
                <w:b/>
                <w:bCs/>
                <w:color w:val="000000"/>
              </w:rPr>
            </w:pPr>
            <w:r w:rsidRPr="00BE6E4B">
              <w:rPr>
                <w:rFonts w:cs="Arial"/>
                <w:b/>
                <w:bCs/>
                <w:color w:val="000000"/>
              </w:rPr>
              <w:t>Min</w:t>
            </w:r>
          </w:p>
        </w:tc>
        <w:tc>
          <w:tcPr>
            <w:tcW w:w="1168" w:type="dxa"/>
            <w:noWrap/>
            <w:hideMark/>
          </w:tcPr>
          <w:p w14:paraId="62A2F10F" w14:textId="77777777" w:rsidR="00263903" w:rsidRPr="00BE6E4B" w:rsidRDefault="00263903" w:rsidP="000B42F7">
            <w:pPr>
              <w:ind w:left="0" w:right="0"/>
              <w:jc w:val="center"/>
              <w:rPr>
                <w:rFonts w:cs="Arial"/>
                <w:b/>
                <w:bCs/>
                <w:color w:val="000000"/>
              </w:rPr>
            </w:pPr>
            <w:r w:rsidRPr="00BE6E4B">
              <w:rPr>
                <w:rFonts w:cs="Arial"/>
                <w:b/>
                <w:bCs/>
                <w:color w:val="000000"/>
              </w:rPr>
              <w:t>Max</w:t>
            </w:r>
          </w:p>
        </w:tc>
        <w:tc>
          <w:tcPr>
            <w:tcW w:w="1134" w:type="dxa"/>
            <w:noWrap/>
            <w:hideMark/>
          </w:tcPr>
          <w:p w14:paraId="2006C1B7" w14:textId="77777777" w:rsidR="00263903" w:rsidRPr="00BE6E4B" w:rsidRDefault="00263903" w:rsidP="000B42F7">
            <w:pPr>
              <w:ind w:left="0" w:right="0"/>
              <w:jc w:val="center"/>
              <w:rPr>
                <w:rFonts w:cs="Arial"/>
                <w:b/>
                <w:bCs/>
                <w:color w:val="000000"/>
              </w:rPr>
            </w:pPr>
            <w:r w:rsidRPr="00BE6E4B">
              <w:rPr>
                <w:rFonts w:cs="Arial"/>
                <w:b/>
                <w:bCs/>
                <w:color w:val="000000"/>
              </w:rPr>
              <w:t>Range</w:t>
            </w:r>
          </w:p>
        </w:tc>
      </w:tr>
      <w:tr w:rsidR="00263903" w:rsidRPr="00263903" w14:paraId="0AE275D1" w14:textId="77777777" w:rsidTr="000C3FED">
        <w:trPr>
          <w:trHeight w:val="300"/>
        </w:trPr>
        <w:tc>
          <w:tcPr>
            <w:tcW w:w="1944" w:type="dxa"/>
            <w:noWrap/>
            <w:hideMark/>
          </w:tcPr>
          <w:p w14:paraId="19E30651" w14:textId="77777777" w:rsidR="00263903" w:rsidRPr="00263903" w:rsidRDefault="00263903" w:rsidP="000B42F7">
            <w:pPr>
              <w:ind w:left="0" w:right="0"/>
              <w:jc w:val="left"/>
              <w:rPr>
                <w:rFonts w:cs="Arial"/>
                <w:color w:val="000000"/>
              </w:rPr>
            </w:pPr>
            <w:r w:rsidRPr="00263903">
              <w:rPr>
                <w:rFonts w:cs="Arial"/>
                <w:color w:val="000000"/>
              </w:rPr>
              <w:t>Days To Hurts Game</w:t>
            </w:r>
          </w:p>
        </w:tc>
        <w:tc>
          <w:tcPr>
            <w:tcW w:w="1624" w:type="dxa"/>
            <w:noWrap/>
            <w:hideMark/>
          </w:tcPr>
          <w:p w14:paraId="35760653" w14:textId="77777777" w:rsidR="00263903" w:rsidRPr="00263903" w:rsidRDefault="00263903" w:rsidP="000B42F7">
            <w:pPr>
              <w:ind w:left="0" w:right="0"/>
              <w:jc w:val="right"/>
              <w:rPr>
                <w:rFonts w:cs="Arial"/>
                <w:color w:val="000000"/>
              </w:rPr>
            </w:pPr>
            <w:r w:rsidRPr="00263903">
              <w:rPr>
                <w:rFonts w:cs="Arial"/>
                <w:color w:val="000000"/>
              </w:rPr>
              <w:t>0</w:t>
            </w:r>
          </w:p>
        </w:tc>
        <w:tc>
          <w:tcPr>
            <w:tcW w:w="985" w:type="dxa"/>
            <w:noWrap/>
            <w:hideMark/>
          </w:tcPr>
          <w:p w14:paraId="0BDD8123" w14:textId="77777777" w:rsidR="00263903" w:rsidRPr="00263903" w:rsidRDefault="00263903" w:rsidP="000B42F7">
            <w:pPr>
              <w:ind w:left="0" w:right="0"/>
              <w:jc w:val="right"/>
              <w:rPr>
                <w:rFonts w:cs="Arial"/>
                <w:color w:val="000000"/>
              </w:rPr>
            </w:pPr>
            <w:r w:rsidRPr="00263903">
              <w:rPr>
                <w:rFonts w:cs="Arial"/>
                <w:color w:val="000000"/>
              </w:rPr>
              <w:t>860.19</w:t>
            </w:r>
          </w:p>
        </w:tc>
        <w:tc>
          <w:tcPr>
            <w:tcW w:w="1472" w:type="dxa"/>
            <w:noWrap/>
            <w:hideMark/>
          </w:tcPr>
          <w:p w14:paraId="4BAFCD2B" w14:textId="77777777" w:rsidR="00263903" w:rsidRPr="00263903" w:rsidRDefault="00263903" w:rsidP="000B42F7">
            <w:pPr>
              <w:ind w:left="0" w:right="0"/>
              <w:jc w:val="right"/>
              <w:rPr>
                <w:rFonts w:cs="Arial"/>
                <w:color w:val="000000"/>
              </w:rPr>
            </w:pPr>
            <w:r w:rsidRPr="00263903">
              <w:rPr>
                <w:rFonts w:cs="Arial"/>
                <w:color w:val="000000"/>
              </w:rPr>
              <w:t>547.72</w:t>
            </w:r>
          </w:p>
        </w:tc>
        <w:tc>
          <w:tcPr>
            <w:tcW w:w="1023" w:type="dxa"/>
            <w:noWrap/>
            <w:hideMark/>
          </w:tcPr>
          <w:p w14:paraId="325EBFF7" w14:textId="77777777" w:rsidR="00263903" w:rsidRPr="00263903" w:rsidRDefault="00263903" w:rsidP="000B42F7">
            <w:pPr>
              <w:ind w:left="0" w:right="0"/>
              <w:jc w:val="right"/>
              <w:rPr>
                <w:rFonts w:cs="Arial"/>
                <w:color w:val="000000"/>
              </w:rPr>
            </w:pPr>
            <w:r w:rsidRPr="00263903">
              <w:rPr>
                <w:rFonts w:cs="Arial"/>
                <w:color w:val="000000"/>
              </w:rPr>
              <w:t>407.00</w:t>
            </w:r>
          </w:p>
        </w:tc>
        <w:tc>
          <w:tcPr>
            <w:tcW w:w="1168" w:type="dxa"/>
            <w:noWrap/>
            <w:hideMark/>
          </w:tcPr>
          <w:p w14:paraId="77F73C4C" w14:textId="77777777" w:rsidR="00263903" w:rsidRPr="00263903" w:rsidRDefault="00263903" w:rsidP="000B42F7">
            <w:pPr>
              <w:ind w:left="0" w:right="0"/>
              <w:jc w:val="right"/>
              <w:rPr>
                <w:rFonts w:cs="Arial"/>
                <w:color w:val="000000"/>
              </w:rPr>
            </w:pPr>
            <w:r w:rsidRPr="00263903">
              <w:rPr>
                <w:rFonts w:cs="Arial"/>
                <w:color w:val="000000"/>
              </w:rPr>
              <w:t>2,958.00</w:t>
            </w:r>
          </w:p>
        </w:tc>
        <w:tc>
          <w:tcPr>
            <w:tcW w:w="1134" w:type="dxa"/>
            <w:noWrap/>
            <w:hideMark/>
          </w:tcPr>
          <w:p w14:paraId="62D11A15" w14:textId="77777777" w:rsidR="00263903" w:rsidRPr="00263903" w:rsidRDefault="00263903" w:rsidP="000B42F7">
            <w:pPr>
              <w:ind w:left="0" w:right="0"/>
              <w:jc w:val="right"/>
              <w:rPr>
                <w:rFonts w:cs="Arial"/>
                <w:color w:val="000000"/>
              </w:rPr>
            </w:pPr>
            <w:r w:rsidRPr="00263903">
              <w:rPr>
                <w:rFonts w:cs="Arial"/>
                <w:color w:val="000000"/>
              </w:rPr>
              <w:t>2,551.00</w:t>
            </w:r>
          </w:p>
        </w:tc>
      </w:tr>
    </w:tbl>
    <w:p w14:paraId="7DC69556" w14:textId="479A2FFC" w:rsidR="00BE71C3" w:rsidRDefault="00BE71C3" w:rsidP="000B42F7">
      <w:pPr>
        <w:ind w:right="0"/>
      </w:pPr>
    </w:p>
    <w:p w14:paraId="012FAA19" w14:textId="6806FB39" w:rsidR="00263903" w:rsidRDefault="00263903" w:rsidP="000B42F7">
      <w:pPr>
        <w:ind w:right="0"/>
      </w:pPr>
      <w:r>
        <w:t xml:space="preserve">The Contract analyses considered the Days To Hurts Game variable not included in the Franchise QB analysis. The study removed quarterbacks who were missing Contract data and Jalen Hurts because his data should not influence the train or test datasets. </w:t>
      </w:r>
      <w:r w:rsidR="0070449B">
        <w:t xml:space="preserve">Numerical summaries for predictor variables already contained in the Franchise QB analysis but filtered for the Contract analyses are available in </w:t>
      </w:r>
      <w:r w:rsidR="0070449B">
        <w:fldChar w:fldCharType="begin"/>
      </w:r>
      <w:r w:rsidR="0070449B">
        <w:instrText xml:space="preserve"> REF _Ref117706259 \h </w:instrText>
      </w:r>
      <w:r w:rsidR="0070449B">
        <w:fldChar w:fldCharType="separate"/>
      </w:r>
      <w:r w:rsidR="0070449B">
        <w:t>Appendix C: Predictor Variables for Contract Analyses</w:t>
      </w:r>
      <w:r w:rsidR="0070449B">
        <w:fldChar w:fldCharType="end"/>
      </w:r>
      <w:r w:rsidR="0070449B">
        <w:t>.</w:t>
      </w:r>
      <w:r w:rsidR="00D67583">
        <w:t xml:space="preserve"> </w:t>
      </w:r>
      <w:r w:rsidR="00D67583">
        <w:fldChar w:fldCharType="begin"/>
      </w:r>
      <w:r w:rsidR="00D67583">
        <w:instrText xml:space="preserve"> REF _Ref117706475 \h </w:instrText>
      </w:r>
      <w:r w:rsidR="00D67583">
        <w:fldChar w:fldCharType="separate"/>
      </w:r>
      <w:r w:rsidR="00D67583">
        <w:t xml:space="preserve">Appendix D: </w:t>
      </w:r>
      <w:r w:rsidR="00D67583">
        <w:t>Histograms of QB</w:t>
      </w:r>
      <w:r w:rsidR="00D67583">
        <w:t xml:space="preserve"> Contract</w:t>
      </w:r>
      <w:r w:rsidR="00D67583">
        <w:t xml:space="preserve"> Predictor Variables</w:t>
      </w:r>
      <w:r w:rsidR="00D67583">
        <w:fldChar w:fldCharType="end"/>
      </w:r>
      <w:r w:rsidR="00D67583">
        <w:t xml:space="preserve"> shows most variables have an approximately normal distribution. Skewness exists in the Days to Hurts Game variable because some veteran QBs have spent many years as a backup. The analysis will remove QBs who took 2,000 days or later to reach their 26</w:t>
      </w:r>
      <w:r w:rsidR="00D67583" w:rsidRPr="00D67583">
        <w:rPr>
          <w:vertAlign w:val="superscript"/>
        </w:rPr>
        <w:t>th</w:t>
      </w:r>
      <w:r w:rsidR="00D67583">
        <w:t xml:space="preserve"> game as primary passer because we want to narrow the study to QBs who received their first extension past their rookie contract.</w:t>
      </w:r>
    </w:p>
    <w:p w14:paraId="71FD1725" w14:textId="478FADD9" w:rsidR="00BB6E6D" w:rsidRDefault="00BB6E6D" w:rsidP="000B42F7">
      <w:pPr>
        <w:ind w:right="0"/>
      </w:pPr>
    </w:p>
    <w:p w14:paraId="6E0D3C2A" w14:textId="77777777" w:rsidR="00E34789" w:rsidRDefault="00E34789" w:rsidP="000B42F7">
      <w:pPr>
        <w:ind w:right="0"/>
      </w:pPr>
    </w:p>
    <w:p w14:paraId="156DED77" w14:textId="273A2B8D" w:rsidR="00A6694B" w:rsidRDefault="00A6694B" w:rsidP="000B42F7">
      <w:pPr>
        <w:pStyle w:val="Heading1"/>
        <w:ind w:right="0"/>
      </w:pPr>
      <w:r>
        <w:t>3.0 –STATISTIC</w:t>
      </w:r>
      <w:r w:rsidR="00BC6763">
        <w:t>AL ANALYSIS</w:t>
      </w:r>
    </w:p>
    <w:p w14:paraId="7DA58BF9" w14:textId="52F7C1CC" w:rsidR="000C3FED" w:rsidRDefault="000C3FED" w:rsidP="000B42F7">
      <w:pPr>
        <w:ind w:right="0"/>
      </w:pPr>
    </w:p>
    <w:p w14:paraId="05D29025" w14:textId="41AB38A5" w:rsidR="000C3FED" w:rsidRDefault="000C3FED" w:rsidP="000B42F7">
      <w:pPr>
        <w:pStyle w:val="Heading2Custom"/>
        <w:ind w:right="0"/>
      </w:pPr>
      <w:r>
        <w:t xml:space="preserve">3.1 </w:t>
      </w:r>
      <w:r w:rsidR="00045FF8">
        <w:t>Predicting Franchise QBs</w:t>
      </w:r>
    </w:p>
    <w:p w14:paraId="60A8EF60" w14:textId="4BF4231F" w:rsidR="00C35B2E" w:rsidRDefault="00C35B2E" w:rsidP="000B42F7">
      <w:pPr>
        <w:ind w:right="0"/>
        <w:rPr>
          <w:b/>
          <w:bCs/>
        </w:rPr>
      </w:pPr>
    </w:p>
    <w:p w14:paraId="6FF42FA8" w14:textId="6C88DA09" w:rsidR="00C35B2E" w:rsidRDefault="00C35B2E" w:rsidP="000B42F7">
      <w:pPr>
        <w:ind w:right="0"/>
      </w:pPr>
      <w:r>
        <w:t xml:space="preserve">The study first developed a predictive model to determine how likely a quarterback is to become a Franchise Quarterback in their career. </w:t>
      </w:r>
      <w:r w:rsidR="004B497B">
        <w:t xml:space="preserve">The consultant first determined an 80% </w:t>
      </w:r>
      <w:r w:rsidR="00083A90">
        <w:t>and</w:t>
      </w:r>
      <w:r w:rsidR="004B497B">
        <w:t xml:space="preserve"> 20% split of the data into training and test data respectively.</w:t>
      </w:r>
      <w:r w:rsidR="00DF18EA">
        <w:t xml:space="preserve"> The R script randomly assigned quarterbacks into each. The consultant </w:t>
      </w:r>
      <w:r w:rsidR="004B497B">
        <w:t xml:space="preserve">optimized </w:t>
      </w:r>
      <w:r>
        <w:t xml:space="preserve">Logistic Regression, Random Forest, and XGBoost algorithms </w:t>
      </w:r>
      <w:r w:rsidR="00DF18EA">
        <w:t>against the same training dataset across the candidate predictive models.</w:t>
      </w:r>
      <w:r w:rsidR="006E30E8">
        <w:t xml:space="preserve"> Within Logistic Regression, the study compared several variable selection techniques including Best Subsets, </w:t>
      </w:r>
      <w:r w:rsidR="00BC3EEA">
        <w:t>Lasso</w:t>
      </w:r>
      <w:r w:rsidR="006E30E8">
        <w:t xml:space="preserve">, Ridge Regression, and Elastic Net Regression. </w:t>
      </w:r>
      <w:r w:rsidR="00DF18EA">
        <w:t xml:space="preserve"> Each model then captured their predictions from the test dataset into a confusion matrix that separates true positives, false positives, true negatives, and false negatives. The consultant selected the model that had the largest</w:t>
      </w:r>
      <w:r w:rsidR="00694BFC">
        <w:t xml:space="preserve"> testing</w:t>
      </w:r>
      <w:r w:rsidR="00DF18EA">
        <w:t xml:space="preserve"> overall accuracy, measured </w:t>
      </w:r>
      <w:r w:rsidR="008E3C14">
        <w:t>as</w:t>
      </w:r>
      <w:r w:rsidR="00DF18EA">
        <w:t>:</w:t>
      </w:r>
    </w:p>
    <w:p w14:paraId="741D9AE2" w14:textId="2ECBBDCC" w:rsidR="00DF18EA" w:rsidRDefault="00DF18EA" w:rsidP="000B42F7">
      <w:pPr>
        <w:ind w:right="0"/>
      </w:pPr>
    </w:p>
    <w:p w14:paraId="593D11F3" w14:textId="1139E26F" w:rsidR="00DF18EA" w:rsidRPr="00C35B2E" w:rsidRDefault="00DF18EA" w:rsidP="000B42F7">
      <w:pPr>
        <w:ind w:right="0"/>
      </w:pPr>
      <m:oMathPara>
        <m:oMath>
          <m:r>
            <w:rPr>
              <w:rFonts w:ascii="Cambria Math" w:hAnsi="Cambria Math"/>
            </w:rPr>
            <m:t xml:space="preserve">Overall Accuracy= </m:t>
          </m:r>
          <m:f>
            <m:fPr>
              <m:ctrlPr>
                <w:rPr>
                  <w:rFonts w:ascii="Cambria Math" w:hAnsi="Cambria Math"/>
                  <w:i/>
                </w:rPr>
              </m:ctrlPr>
            </m:fPr>
            <m:num>
              <m:r>
                <w:rPr>
                  <w:rFonts w:ascii="Cambria Math" w:hAnsi="Cambria Math"/>
                </w:rPr>
                <m:t>True Positives+True Negatives</m:t>
              </m:r>
            </m:num>
            <m:den>
              <m:r>
                <w:rPr>
                  <w:rFonts w:ascii="Cambria Math" w:hAnsi="Cambria Math"/>
                </w:rPr>
                <m:t>True Positives+False Positives+True Negatives+False Negatives</m:t>
              </m:r>
            </m:den>
          </m:f>
        </m:oMath>
      </m:oMathPara>
    </w:p>
    <w:p w14:paraId="353BADFF" w14:textId="77777777" w:rsidR="00A6694B" w:rsidRDefault="00A6694B" w:rsidP="000B42F7">
      <w:pPr>
        <w:ind w:right="0"/>
      </w:pPr>
    </w:p>
    <w:p w14:paraId="26A2E7FF" w14:textId="6BF1E34F" w:rsidR="006E30E8" w:rsidRDefault="00BF4926" w:rsidP="000B42F7">
      <w:pPr>
        <w:ind w:right="0"/>
      </w:pPr>
      <w:r>
        <w:t>T</w:t>
      </w:r>
      <w:r w:rsidR="006E30E8">
        <w:t xml:space="preserve">he Logistic Regression with </w:t>
      </w:r>
      <w:r w:rsidR="00BC3EEA">
        <w:t>Lasso</w:t>
      </w:r>
      <w:r w:rsidR="006E30E8">
        <w:t xml:space="preserve"> </w:t>
      </w:r>
      <w:r w:rsidR="00694BFC">
        <w:t xml:space="preserve">and Elastic Net </w:t>
      </w:r>
      <w:r w:rsidR="006E30E8">
        <w:t>variable se</w:t>
      </w:r>
      <w:r w:rsidR="00694BFC">
        <w:t>lections both held the highest testing overall accuracy:</w:t>
      </w:r>
    </w:p>
    <w:p w14:paraId="588AB5BA" w14:textId="0DBB1ABC" w:rsidR="00674C35" w:rsidRDefault="00674C35" w:rsidP="000B42F7">
      <w:pPr>
        <w:pStyle w:val="Caption"/>
        <w:ind w:right="0"/>
      </w:pPr>
      <w:r>
        <w:t xml:space="preserve">Table </w:t>
      </w:r>
      <w:r>
        <w:fldChar w:fldCharType="begin"/>
      </w:r>
      <w:r>
        <w:instrText xml:space="preserve"> SEQ Table \* ARABIC </w:instrText>
      </w:r>
      <w:r>
        <w:fldChar w:fldCharType="separate"/>
      </w:r>
      <w:r w:rsidR="00E02EAD">
        <w:rPr>
          <w:noProof/>
        </w:rPr>
        <w:t>5</w:t>
      </w:r>
      <w:r>
        <w:fldChar w:fldCharType="end"/>
      </w:r>
      <w:r>
        <w:t>. Overall Accuracy by Predictive Model in descending order</w:t>
      </w:r>
    </w:p>
    <w:tbl>
      <w:tblPr>
        <w:tblStyle w:val="TableGrid"/>
        <w:tblW w:w="0" w:type="auto"/>
        <w:jc w:val="center"/>
        <w:tblLook w:val="04A0" w:firstRow="1" w:lastRow="0" w:firstColumn="1" w:lastColumn="0" w:noHBand="0" w:noVBand="1"/>
      </w:tblPr>
      <w:tblGrid>
        <w:gridCol w:w="4681"/>
        <w:gridCol w:w="2064"/>
      </w:tblGrid>
      <w:tr w:rsidR="00694BFC" w14:paraId="2BC04A68" w14:textId="77777777" w:rsidTr="00694BFC">
        <w:trPr>
          <w:jc w:val="center"/>
        </w:trPr>
        <w:tc>
          <w:tcPr>
            <w:tcW w:w="4681" w:type="dxa"/>
          </w:tcPr>
          <w:p w14:paraId="2204E3E6" w14:textId="70E40549" w:rsidR="00694BFC" w:rsidRPr="00694BFC" w:rsidRDefault="00694BFC" w:rsidP="000B42F7">
            <w:pPr>
              <w:ind w:left="0" w:right="0"/>
              <w:jc w:val="center"/>
              <w:rPr>
                <w:b/>
                <w:bCs/>
              </w:rPr>
            </w:pPr>
            <w:r w:rsidRPr="00694BFC">
              <w:rPr>
                <w:b/>
                <w:bCs/>
              </w:rPr>
              <w:t>Model</w:t>
            </w:r>
          </w:p>
        </w:tc>
        <w:tc>
          <w:tcPr>
            <w:tcW w:w="2064" w:type="dxa"/>
          </w:tcPr>
          <w:p w14:paraId="30A7ADB8" w14:textId="682D47E9" w:rsidR="00694BFC" w:rsidRPr="00694BFC" w:rsidRDefault="00694BFC" w:rsidP="000B42F7">
            <w:pPr>
              <w:ind w:left="0" w:right="0"/>
              <w:rPr>
                <w:b/>
                <w:bCs/>
              </w:rPr>
            </w:pPr>
            <w:r w:rsidRPr="00694BFC">
              <w:rPr>
                <w:b/>
                <w:bCs/>
              </w:rPr>
              <w:t>Overall Accuracy</w:t>
            </w:r>
          </w:p>
        </w:tc>
      </w:tr>
      <w:tr w:rsidR="00694BFC" w14:paraId="5A640CCB" w14:textId="77777777" w:rsidTr="00694BFC">
        <w:trPr>
          <w:jc w:val="center"/>
        </w:trPr>
        <w:tc>
          <w:tcPr>
            <w:tcW w:w="4681" w:type="dxa"/>
          </w:tcPr>
          <w:p w14:paraId="0AF3341A" w14:textId="2F3DC121" w:rsidR="00694BFC" w:rsidRDefault="00694BFC" w:rsidP="000B42F7">
            <w:pPr>
              <w:ind w:left="0" w:right="0"/>
            </w:pPr>
            <w:r>
              <w:lastRenderedPageBreak/>
              <w:t xml:space="preserve">Logistic Regression with </w:t>
            </w:r>
            <w:r w:rsidR="00BC3EEA">
              <w:t>Lasso</w:t>
            </w:r>
          </w:p>
        </w:tc>
        <w:tc>
          <w:tcPr>
            <w:tcW w:w="2064" w:type="dxa"/>
          </w:tcPr>
          <w:p w14:paraId="2F228564" w14:textId="064855BB" w:rsidR="00694BFC" w:rsidRDefault="00694BFC" w:rsidP="000B42F7">
            <w:pPr>
              <w:ind w:left="0" w:right="0"/>
            </w:pPr>
            <w:r>
              <w:t>70.6%</w:t>
            </w:r>
          </w:p>
        </w:tc>
      </w:tr>
      <w:tr w:rsidR="00694BFC" w14:paraId="1C3E5012" w14:textId="77777777" w:rsidTr="00694BFC">
        <w:trPr>
          <w:jc w:val="center"/>
        </w:trPr>
        <w:tc>
          <w:tcPr>
            <w:tcW w:w="4681" w:type="dxa"/>
          </w:tcPr>
          <w:p w14:paraId="4B4B9BD1" w14:textId="1FAB084C" w:rsidR="00694BFC" w:rsidRDefault="00694BFC" w:rsidP="000B42F7">
            <w:pPr>
              <w:ind w:left="0" w:right="0"/>
            </w:pPr>
            <w:r>
              <w:t>Logistic Regression with Elastic Net</w:t>
            </w:r>
          </w:p>
        </w:tc>
        <w:tc>
          <w:tcPr>
            <w:tcW w:w="2064" w:type="dxa"/>
          </w:tcPr>
          <w:p w14:paraId="2EA57320" w14:textId="24C1C547" w:rsidR="00694BFC" w:rsidRDefault="00694BFC" w:rsidP="000B42F7">
            <w:pPr>
              <w:ind w:left="0" w:right="0"/>
            </w:pPr>
            <w:r>
              <w:t>70.6%</w:t>
            </w:r>
          </w:p>
        </w:tc>
      </w:tr>
      <w:tr w:rsidR="00694BFC" w14:paraId="403C9514" w14:textId="77777777" w:rsidTr="00694BFC">
        <w:trPr>
          <w:jc w:val="center"/>
        </w:trPr>
        <w:tc>
          <w:tcPr>
            <w:tcW w:w="4681" w:type="dxa"/>
          </w:tcPr>
          <w:p w14:paraId="1D9273EB" w14:textId="2115955A" w:rsidR="00694BFC" w:rsidRDefault="00694BFC" w:rsidP="000B42F7">
            <w:pPr>
              <w:ind w:left="0" w:right="0"/>
            </w:pPr>
            <w:r>
              <w:t>XGBoost</w:t>
            </w:r>
          </w:p>
        </w:tc>
        <w:tc>
          <w:tcPr>
            <w:tcW w:w="2064" w:type="dxa"/>
          </w:tcPr>
          <w:p w14:paraId="1675CCC0" w14:textId="1A8CDEB4" w:rsidR="00694BFC" w:rsidRDefault="00694BFC" w:rsidP="000B42F7">
            <w:pPr>
              <w:ind w:left="0" w:right="0"/>
            </w:pPr>
            <w:r>
              <w:t>58.8%</w:t>
            </w:r>
          </w:p>
        </w:tc>
      </w:tr>
      <w:tr w:rsidR="00694BFC" w14:paraId="1C26D568" w14:textId="77777777" w:rsidTr="00694BFC">
        <w:trPr>
          <w:jc w:val="center"/>
        </w:trPr>
        <w:tc>
          <w:tcPr>
            <w:tcW w:w="4681" w:type="dxa"/>
          </w:tcPr>
          <w:p w14:paraId="6F2FE400" w14:textId="60E99E88" w:rsidR="00694BFC" w:rsidRDefault="00694BFC" w:rsidP="000B42F7">
            <w:pPr>
              <w:ind w:left="0" w:right="0"/>
            </w:pPr>
            <w:r>
              <w:t>Logistic Regression with Ridge Regression</w:t>
            </w:r>
          </w:p>
        </w:tc>
        <w:tc>
          <w:tcPr>
            <w:tcW w:w="2064" w:type="dxa"/>
          </w:tcPr>
          <w:p w14:paraId="1B4AB5A2" w14:textId="2305931C" w:rsidR="00694BFC" w:rsidRDefault="00694BFC" w:rsidP="000B42F7">
            <w:pPr>
              <w:ind w:left="0" w:right="0"/>
            </w:pPr>
            <w:r>
              <w:t>52.9%</w:t>
            </w:r>
          </w:p>
        </w:tc>
      </w:tr>
      <w:tr w:rsidR="00694BFC" w14:paraId="0D25D9D5" w14:textId="77777777" w:rsidTr="00694BFC">
        <w:trPr>
          <w:jc w:val="center"/>
        </w:trPr>
        <w:tc>
          <w:tcPr>
            <w:tcW w:w="4681" w:type="dxa"/>
          </w:tcPr>
          <w:p w14:paraId="47423FD8" w14:textId="1F827F56" w:rsidR="00694BFC" w:rsidRDefault="00694BFC" w:rsidP="000B42F7">
            <w:pPr>
              <w:ind w:left="0" w:right="0"/>
            </w:pPr>
            <w:r>
              <w:t>Random Forest</w:t>
            </w:r>
          </w:p>
        </w:tc>
        <w:tc>
          <w:tcPr>
            <w:tcW w:w="2064" w:type="dxa"/>
          </w:tcPr>
          <w:p w14:paraId="539819E2" w14:textId="5D37EB34" w:rsidR="00694BFC" w:rsidRDefault="00694BFC" w:rsidP="000B42F7">
            <w:pPr>
              <w:ind w:left="0" w:right="0"/>
            </w:pPr>
            <w:r>
              <w:t>50.0%</w:t>
            </w:r>
          </w:p>
        </w:tc>
      </w:tr>
    </w:tbl>
    <w:p w14:paraId="7D7D8ED6" w14:textId="77777777" w:rsidR="00694BFC" w:rsidRDefault="00694BFC" w:rsidP="000B42F7">
      <w:pPr>
        <w:ind w:right="0"/>
      </w:pPr>
    </w:p>
    <w:p w14:paraId="1C3A27FB" w14:textId="77777777" w:rsidR="001D55FF" w:rsidRDefault="00BC3EEA" w:rsidP="000B42F7">
      <w:pPr>
        <w:ind w:right="0"/>
      </w:pPr>
      <w:r>
        <w:t>Although two selection methods are tied for most accurate at 70.6%, Lasso is the simpler approach of the two and is the preferable method. Lasso is an unbiased method that penalizes the sum of coefficients of predictive models in a way that will reduce some coefficients to zero</w:t>
      </w:r>
      <w:r w:rsidR="007801F9">
        <w:t xml:space="preserve"> and </w:t>
      </w:r>
      <w:r w:rsidR="00E902DE">
        <w:t>eliminate</w:t>
      </w:r>
      <w:r w:rsidR="007801F9">
        <w:t xml:space="preserve"> some variables</w:t>
      </w:r>
      <w:r>
        <w:t>, resulting in a simpler regression model.</w:t>
      </w:r>
      <w:r w:rsidR="00E902DE">
        <w:t xml:space="preserve"> </w:t>
      </w:r>
      <w:r w:rsidR="001D55FF">
        <w:t>This study standardized the variables before applying Lasso, which prevents the algorithm from bias toward selecting those with more variance because of different measurement units.</w:t>
      </w:r>
    </w:p>
    <w:p w14:paraId="2A6F9524" w14:textId="77777777" w:rsidR="001D55FF" w:rsidRDefault="001D55FF" w:rsidP="000B42F7">
      <w:pPr>
        <w:ind w:right="0"/>
      </w:pPr>
    </w:p>
    <w:p w14:paraId="2A21A78B" w14:textId="4C776648" w:rsidR="006E30E8" w:rsidRDefault="00E902DE" w:rsidP="000B42F7">
      <w:pPr>
        <w:ind w:right="0"/>
      </w:pPr>
      <w:r>
        <w:t>The amount of penalty for each</w:t>
      </w:r>
      <w:r w:rsidR="001D55FF">
        <w:t xml:space="preserve"> preditor’s</w:t>
      </w:r>
      <w:r>
        <w:t xml:space="preserve"> coefficient is determined by a user-selected parameter </w:t>
      </w:r>
      <w:r>
        <w:rPr>
          <w:rFonts w:cs="Arial"/>
        </w:rPr>
        <w:t>λ</w:t>
      </w:r>
      <w:r>
        <w:t xml:space="preserve">. One can select an optimal parameter </w:t>
      </w:r>
      <w:r>
        <w:rPr>
          <w:rFonts w:cs="Arial"/>
        </w:rPr>
        <w:t xml:space="preserve">by finding the minimal error (in this case, Binomial Deviance for predicting an observation between two classes) over a range of potential </w:t>
      </w:r>
      <w:r>
        <w:rPr>
          <w:rFonts w:cs="Arial"/>
        </w:rPr>
        <w:t>λ</w:t>
      </w:r>
      <w:r w:rsidR="000A5365">
        <w:rPr>
          <w:rFonts w:cs="Arial"/>
        </w:rPr>
        <w:t xml:space="preserve"> as shown in </w:t>
      </w:r>
      <w:r w:rsidR="000A5365">
        <w:rPr>
          <w:rFonts w:cs="Arial"/>
        </w:rPr>
        <w:fldChar w:fldCharType="begin"/>
      </w:r>
      <w:r w:rsidR="000A5365">
        <w:rPr>
          <w:rFonts w:cs="Arial"/>
        </w:rPr>
        <w:instrText xml:space="preserve"> REF _Ref117794812 \h </w:instrText>
      </w:r>
      <w:r w:rsidR="000A5365">
        <w:rPr>
          <w:rFonts w:cs="Arial"/>
        </w:rPr>
      </w:r>
      <w:r w:rsidR="000A5365">
        <w:rPr>
          <w:rFonts w:cs="Arial"/>
        </w:rPr>
        <w:instrText xml:space="preserve"> \* MERGEFORMAT </w:instrText>
      </w:r>
      <w:r w:rsidR="000A5365">
        <w:rPr>
          <w:rFonts w:cs="Arial"/>
        </w:rPr>
        <w:fldChar w:fldCharType="separate"/>
      </w:r>
      <w:r w:rsidR="000A5365" w:rsidRPr="000A5365">
        <w:rPr>
          <w:rStyle w:val="Emphasis"/>
        </w:rPr>
        <w:t>Figure 1. Binomial Deviance by Log of λ in Lasso variable selection</w:t>
      </w:r>
      <w:r w:rsidR="000A5365">
        <w:t>.</w:t>
      </w:r>
      <w:r w:rsidR="000A5365">
        <w:rPr>
          <w:rFonts w:cs="Arial"/>
        </w:rPr>
        <w:fldChar w:fldCharType="end"/>
      </w:r>
      <w:r w:rsidR="001D55FF">
        <w:rPr>
          <w:rFonts w:cs="Arial"/>
        </w:rPr>
        <w:t xml:space="preserve"> The dataset is small enough to use Leave-One-Out</w:t>
      </w:r>
      <w:r w:rsidR="000A5365">
        <w:rPr>
          <w:rFonts w:cs="Arial"/>
        </w:rPr>
        <w:t xml:space="preserve"> </w:t>
      </w:r>
      <w:r w:rsidR="001D55FF">
        <w:rPr>
          <w:rFonts w:cs="Arial"/>
        </w:rPr>
        <w:t>Cross-Validation</w:t>
      </w:r>
      <w:r w:rsidR="000A5365">
        <w:rPr>
          <w:rFonts w:cs="Arial"/>
        </w:rPr>
        <w:t xml:space="preserve"> (LOOCV), where the prediction function trains on all training data except for one point and then predicts that point for each point in the dataset. LOOCV helps minimize the cross-validation error in comparison to other available cross-validation methods.</w:t>
      </w:r>
    </w:p>
    <w:p w14:paraId="157BCF8E" w14:textId="49D641B1" w:rsidR="00E902DE" w:rsidRDefault="00E902DE" w:rsidP="000B42F7">
      <w:pPr>
        <w:ind w:right="0"/>
      </w:pPr>
    </w:p>
    <w:p w14:paraId="3E72D1AB" w14:textId="77777777" w:rsidR="00E902DE" w:rsidRDefault="00E902DE" w:rsidP="000B42F7">
      <w:pPr>
        <w:keepNext/>
        <w:ind w:right="0"/>
        <w:jc w:val="center"/>
      </w:pPr>
      <w:r>
        <w:rPr>
          <w:noProof/>
        </w:rPr>
        <w:drawing>
          <wp:inline distT="0" distB="0" distL="0" distR="0" wp14:anchorId="2754C497" wp14:editId="32270887">
            <wp:extent cx="4270248" cy="352044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0248" cy="3520440"/>
                    </a:xfrm>
                    <a:prstGeom prst="rect">
                      <a:avLst/>
                    </a:prstGeom>
                  </pic:spPr>
                </pic:pic>
              </a:graphicData>
            </a:graphic>
          </wp:inline>
        </w:drawing>
      </w:r>
    </w:p>
    <w:p w14:paraId="3BA30B9A" w14:textId="5EB489F7" w:rsidR="00E902DE" w:rsidRDefault="00E902DE" w:rsidP="000B42F7">
      <w:pPr>
        <w:pStyle w:val="Caption"/>
        <w:ind w:right="0"/>
        <w:jc w:val="center"/>
      </w:pPr>
      <w:bookmarkStart w:id="4" w:name="_Ref117794812"/>
      <w:r>
        <w:t xml:space="preserve">Figure </w:t>
      </w:r>
      <w:r>
        <w:fldChar w:fldCharType="begin"/>
      </w:r>
      <w:r>
        <w:instrText xml:space="preserve"> SEQ Figure \* ARABIC </w:instrText>
      </w:r>
      <w:r>
        <w:fldChar w:fldCharType="separate"/>
      </w:r>
      <w:r w:rsidR="000B42F7">
        <w:rPr>
          <w:noProof/>
        </w:rPr>
        <w:t>1</w:t>
      </w:r>
      <w:r>
        <w:fldChar w:fldCharType="end"/>
      </w:r>
      <w:r>
        <w:t xml:space="preserve">. Binomial Deviance by Log of </w:t>
      </w:r>
      <w:r>
        <w:rPr>
          <w:rFonts w:cs="Arial"/>
        </w:rPr>
        <w:t>λ</w:t>
      </w:r>
      <w:r>
        <w:t xml:space="preserve"> in Lasso variable selection.</w:t>
      </w:r>
      <w:bookmarkEnd w:id="4"/>
    </w:p>
    <w:p w14:paraId="4ED6B215" w14:textId="77777777" w:rsidR="00BC3EEA" w:rsidRDefault="00BC3EEA" w:rsidP="000B42F7">
      <w:pPr>
        <w:ind w:right="0"/>
      </w:pPr>
    </w:p>
    <w:p w14:paraId="43A800F1" w14:textId="307A887B" w:rsidR="00E902DE" w:rsidRDefault="009E418E" w:rsidP="000B42F7">
      <w:pPr>
        <w:ind w:right="0"/>
      </w:pPr>
      <w:r>
        <w:lastRenderedPageBreak/>
        <w:t xml:space="preserve">A </w:t>
      </w:r>
      <w:r>
        <w:rPr>
          <w:rFonts w:cs="Arial"/>
        </w:rPr>
        <w:t>λ</w:t>
      </w:r>
      <w:r>
        <w:t xml:space="preserve"> of </w:t>
      </w:r>
      <w:r w:rsidRPr="009E418E">
        <w:t>0.06631981</w:t>
      </w:r>
      <w:r>
        <w:t xml:space="preserve"> results in the lowest cross-validation error that does not bias the model toward predicting all observations to either be Franchise QBs or not Franchise QBs. The logistic regression function for </w:t>
      </w:r>
      <w:r w:rsidR="00DD3671">
        <w:t>predicting the log odds of being a Franchise QB (based on standardized variables) is</w:t>
      </w:r>
      <w:r>
        <w:t>:</w:t>
      </w:r>
    </w:p>
    <w:p w14:paraId="064D9F32" w14:textId="6AE10559" w:rsidR="009E418E" w:rsidRDefault="009E418E" w:rsidP="000B42F7">
      <w:pPr>
        <w:ind w:right="0"/>
      </w:pPr>
    </w:p>
    <w:p w14:paraId="55970C69" w14:textId="592A24DE" w:rsidR="009E418E" w:rsidRDefault="009E418E" w:rsidP="000B42F7">
      <w:pPr>
        <w:ind w:right="0"/>
      </w:pPr>
      <m:oMathPara>
        <m:oMath>
          <m:r>
            <w:rPr>
              <w:rFonts w:ascii="Cambria Math" w:hAnsi="Cambria Math"/>
            </w:rPr>
            <m:t>0.1191+0.0989*</m:t>
          </m:r>
          <m:d>
            <m:dPr>
              <m:begChr m:val="["/>
              <m:endChr m:val="]"/>
              <m:ctrlPr>
                <w:rPr>
                  <w:rFonts w:ascii="Cambria Math" w:hAnsi="Cambria Math"/>
                  <w:i/>
                </w:rPr>
              </m:ctrlPr>
            </m:dPr>
            <m:e>
              <m:r>
                <w:rPr>
                  <w:rFonts w:ascii="Cambria Math" w:hAnsi="Cambria Math"/>
                </w:rPr>
                <m:t>Primary Passing TDs per Game</m:t>
              </m:r>
            </m:e>
          </m:d>
          <m:r>
            <w:rPr>
              <w:rFonts w:ascii="Cambria Math" w:hAnsi="Cambria Math"/>
            </w:rPr>
            <m:t>+0.010</m:t>
          </m:r>
          <m:r>
            <w:rPr>
              <w:rFonts w:ascii="Cambria Math" w:hAnsi="Cambria Math"/>
            </w:rPr>
            <m:t>86 [EPA per Play]</m:t>
          </m:r>
        </m:oMath>
      </m:oMathPara>
    </w:p>
    <w:p w14:paraId="177DC159" w14:textId="1BC6E605" w:rsidR="009E418E" w:rsidRDefault="009E418E" w:rsidP="000B42F7">
      <w:pPr>
        <w:ind w:right="0"/>
      </w:pPr>
    </w:p>
    <w:p w14:paraId="387319B8" w14:textId="6272653C" w:rsidR="00EF7A54" w:rsidRDefault="00EF7A54" w:rsidP="000B42F7">
      <w:pPr>
        <w:ind w:right="0"/>
      </w:pPr>
      <w:r>
        <w:t>The model then predicts the outcome of the 19 QBs in the test data and collects them into a confusion matrix that compares the predicted values against actual values:</w:t>
      </w:r>
    </w:p>
    <w:p w14:paraId="605959E0" w14:textId="5ED9D7D1" w:rsidR="00EF7A54" w:rsidRDefault="00EF7A54" w:rsidP="000B42F7">
      <w:pPr>
        <w:ind w:right="0"/>
      </w:pPr>
    </w:p>
    <w:p w14:paraId="663946EA" w14:textId="3E625E9E" w:rsidR="00EF7A54" w:rsidRDefault="00EF7A54" w:rsidP="000B42F7">
      <w:pPr>
        <w:ind w:right="0"/>
      </w:pPr>
    </w:p>
    <w:p w14:paraId="5ED4A48B" w14:textId="1EB95DD6" w:rsidR="00EF7A54" w:rsidRDefault="00EF7A54" w:rsidP="000B42F7">
      <w:pPr>
        <w:ind w:right="0"/>
      </w:pPr>
    </w:p>
    <w:p w14:paraId="6BA0C582" w14:textId="3D7C8BC9" w:rsidR="00EF7A54" w:rsidRDefault="00EF7A54" w:rsidP="000B42F7">
      <w:pPr>
        <w:pStyle w:val="Caption"/>
        <w:ind w:right="0"/>
      </w:pPr>
      <w:r>
        <w:t xml:space="preserve">Table </w:t>
      </w:r>
      <w:r>
        <w:fldChar w:fldCharType="begin"/>
      </w:r>
      <w:r>
        <w:instrText xml:space="preserve"> SEQ Table \* ARABIC </w:instrText>
      </w:r>
      <w:r>
        <w:fldChar w:fldCharType="separate"/>
      </w:r>
      <w:r w:rsidR="00E02EAD">
        <w:rPr>
          <w:noProof/>
        </w:rPr>
        <w:t>6</w:t>
      </w:r>
      <w:r>
        <w:fldChar w:fldCharType="end"/>
      </w:r>
      <w:r>
        <w:t>. Confusion Matrix for Logistic Regression with Lasso Selection</w:t>
      </w:r>
    </w:p>
    <w:tbl>
      <w:tblPr>
        <w:tblStyle w:val="TableGrid"/>
        <w:tblW w:w="0" w:type="auto"/>
        <w:tblInd w:w="720" w:type="dxa"/>
        <w:tblLook w:val="04A0" w:firstRow="1" w:lastRow="0" w:firstColumn="1" w:lastColumn="0" w:noHBand="0" w:noVBand="1"/>
      </w:tblPr>
      <w:tblGrid>
        <w:gridCol w:w="1435"/>
        <w:gridCol w:w="2430"/>
        <w:gridCol w:w="2610"/>
        <w:gridCol w:w="2875"/>
      </w:tblGrid>
      <w:tr w:rsidR="00EF7A54" w14:paraId="4C2CCFDA" w14:textId="77777777" w:rsidTr="00EF7A54">
        <w:trPr>
          <w:cantSplit/>
        </w:trPr>
        <w:tc>
          <w:tcPr>
            <w:tcW w:w="3865" w:type="dxa"/>
            <w:gridSpan w:val="2"/>
            <w:vMerge w:val="restart"/>
            <w:vAlign w:val="center"/>
          </w:tcPr>
          <w:p w14:paraId="54F84242" w14:textId="77777777" w:rsidR="00EF7A54" w:rsidRDefault="00EF7A54" w:rsidP="000B42F7">
            <w:pPr>
              <w:ind w:left="0" w:right="0"/>
              <w:jc w:val="center"/>
            </w:pPr>
          </w:p>
        </w:tc>
        <w:tc>
          <w:tcPr>
            <w:tcW w:w="5485" w:type="dxa"/>
            <w:gridSpan w:val="2"/>
            <w:vAlign w:val="center"/>
          </w:tcPr>
          <w:p w14:paraId="117B8F15" w14:textId="1DEF9219" w:rsidR="00EF7A54" w:rsidRPr="00EF7A54" w:rsidRDefault="00EF7A54" w:rsidP="000B42F7">
            <w:pPr>
              <w:ind w:left="0" w:right="0"/>
              <w:jc w:val="center"/>
              <w:rPr>
                <w:b/>
                <w:bCs/>
              </w:rPr>
            </w:pPr>
            <w:r w:rsidRPr="00EF7A54">
              <w:rPr>
                <w:b/>
                <w:bCs/>
              </w:rPr>
              <w:t>Actual Values</w:t>
            </w:r>
          </w:p>
        </w:tc>
      </w:tr>
      <w:tr w:rsidR="00EF7A54" w14:paraId="7052395C" w14:textId="77777777" w:rsidTr="00EF7A54">
        <w:trPr>
          <w:cantSplit/>
        </w:trPr>
        <w:tc>
          <w:tcPr>
            <w:tcW w:w="3865" w:type="dxa"/>
            <w:gridSpan w:val="2"/>
            <w:vMerge/>
            <w:vAlign w:val="center"/>
          </w:tcPr>
          <w:p w14:paraId="10966B9C" w14:textId="77777777" w:rsidR="00EF7A54" w:rsidRDefault="00EF7A54" w:rsidP="000B42F7">
            <w:pPr>
              <w:ind w:left="0" w:right="0"/>
              <w:jc w:val="center"/>
            </w:pPr>
          </w:p>
        </w:tc>
        <w:tc>
          <w:tcPr>
            <w:tcW w:w="2610" w:type="dxa"/>
            <w:vAlign w:val="center"/>
          </w:tcPr>
          <w:p w14:paraId="75AAFA56" w14:textId="473314DE" w:rsidR="00EF7A54" w:rsidRDefault="00EF7A54" w:rsidP="000B42F7">
            <w:pPr>
              <w:ind w:left="0" w:right="0"/>
              <w:jc w:val="center"/>
            </w:pPr>
            <w:r>
              <w:t>Not Franchise QB</w:t>
            </w:r>
          </w:p>
        </w:tc>
        <w:tc>
          <w:tcPr>
            <w:tcW w:w="2875" w:type="dxa"/>
            <w:vAlign w:val="center"/>
          </w:tcPr>
          <w:p w14:paraId="3B52BE10" w14:textId="28D13872" w:rsidR="00EF7A54" w:rsidRDefault="00EF7A54" w:rsidP="000B42F7">
            <w:pPr>
              <w:ind w:left="0" w:right="0"/>
              <w:jc w:val="center"/>
            </w:pPr>
            <w:r>
              <w:t>Franchise QB</w:t>
            </w:r>
          </w:p>
        </w:tc>
      </w:tr>
      <w:tr w:rsidR="00EF7A54" w14:paraId="2844D870" w14:textId="77777777" w:rsidTr="00EF7A54">
        <w:trPr>
          <w:cantSplit/>
        </w:trPr>
        <w:tc>
          <w:tcPr>
            <w:tcW w:w="1435" w:type="dxa"/>
            <w:vMerge w:val="restart"/>
            <w:vAlign w:val="center"/>
          </w:tcPr>
          <w:p w14:paraId="1D6F7E8D" w14:textId="2885163F" w:rsidR="00EF7A54" w:rsidRPr="00EF7A54" w:rsidRDefault="00EF7A54" w:rsidP="000B42F7">
            <w:pPr>
              <w:ind w:left="0" w:right="0"/>
              <w:rPr>
                <w:b/>
                <w:bCs/>
              </w:rPr>
            </w:pPr>
            <w:r w:rsidRPr="00EF7A54">
              <w:rPr>
                <w:b/>
                <w:bCs/>
              </w:rPr>
              <w:t>Prediction</w:t>
            </w:r>
          </w:p>
        </w:tc>
        <w:tc>
          <w:tcPr>
            <w:tcW w:w="2430" w:type="dxa"/>
            <w:vAlign w:val="center"/>
          </w:tcPr>
          <w:p w14:paraId="5956B213" w14:textId="7D2F7178" w:rsidR="00EF7A54" w:rsidRDefault="00EF7A54" w:rsidP="000B42F7">
            <w:pPr>
              <w:ind w:left="0" w:right="0"/>
              <w:jc w:val="center"/>
            </w:pPr>
            <w:r>
              <w:t>Not Franchise QB</w:t>
            </w:r>
          </w:p>
        </w:tc>
        <w:tc>
          <w:tcPr>
            <w:tcW w:w="2610" w:type="dxa"/>
            <w:vAlign w:val="center"/>
          </w:tcPr>
          <w:p w14:paraId="6DFA6E59" w14:textId="60BBD4CD" w:rsidR="00EF7A54" w:rsidRDefault="00EF7A54" w:rsidP="000B42F7">
            <w:pPr>
              <w:ind w:left="0" w:right="0"/>
              <w:jc w:val="center"/>
            </w:pPr>
            <w:r>
              <w:t>4</w:t>
            </w:r>
          </w:p>
        </w:tc>
        <w:tc>
          <w:tcPr>
            <w:tcW w:w="2875" w:type="dxa"/>
            <w:vAlign w:val="center"/>
          </w:tcPr>
          <w:p w14:paraId="3B68384E" w14:textId="20DFB569" w:rsidR="00EF7A54" w:rsidRDefault="00EF7A54" w:rsidP="000B42F7">
            <w:pPr>
              <w:ind w:left="0" w:right="0"/>
              <w:jc w:val="center"/>
            </w:pPr>
            <w:r>
              <w:t>1</w:t>
            </w:r>
          </w:p>
        </w:tc>
      </w:tr>
      <w:tr w:rsidR="00EF7A54" w14:paraId="0D2BB498" w14:textId="77777777" w:rsidTr="00EF7A54">
        <w:trPr>
          <w:cantSplit/>
        </w:trPr>
        <w:tc>
          <w:tcPr>
            <w:tcW w:w="1435" w:type="dxa"/>
            <w:vMerge/>
            <w:vAlign w:val="center"/>
          </w:tcPr>
          <w:p w14:paraId="742FFAD4" w14:textId="77777777" w:rsidR="00EF7A54" w:rsidRDefault="00EF7A54" w:rsidP="000B42F7">
            <w:pPr>
              <w:ind w:left="0" w:right="0"/>
            </w:pPr>
          </w:p>
        </w:tc>
        <w:tc>
          <w:tcPr>
            <w:tcW w:w="2430" w:type="dxa"/>
            <w:vAlign w:val="center"/>
          </w:tcPr>
          <w:p w14:paraId="6FB6956B" w14:textId="3BAAAA70" w:rsidR="00EF7A54" w:rsidRDefault="00EF7A54" w:rsidP="000B42F7">
            <w:pPr>
              <w:ind w:left="0" w:right="0"/>
              <w:jc w:val="center"/>
            </w:pPr>
            <w:r>
              <w:t>Franchise QB</w:t>
            </w:r>
          </w:p>
        </w:tc>
        <w:tc>
          <w:tcPr>
            <w:tcW w:w="2610" w:type="dxa"/>
            <w:vAlign w:val="center"/>
          </w:tcPr>
          <w:p w14:paraId="4A8F1432" w14:textId="413F3710" w:rsidR="00EF7A54" w:rsidRDefault="00EF7A54" w:rsidP="000B42F7">
            <w:pPr>
              <w:ind w:left="0" w:right="0"/>
              <w:jc w:val="center"/>
            </w:pPr>
            <w:r>
              <w:t>4</w:t>
            </w:r>
          </w:p>
        </w:tc>
        <w:tc>
          <w:tcPr>
            <w:tcW w:w="2875" w:type="dxa"/>
            <w:vAlign w:val="center"/>
          </w:tcPr>
          <w:p w14:paraId="6E069269" w14:textId="31304A50" w:rsidR="00EF7A54" w:rsidRDefault="00EF7A54" w:rsidP="000B42F7">
            <w:pPr>
              <w:ind w:left="0" w:right="0"/>
              <w:jc w:val="center"/>
            </w:pPr>
            <w:r>
              <w:t>8</w:t>
            </w:r>
          </w:p>
        </w:tc>
      </w:tr>
    </w:tbl>
    <w:p w14:paraId="189E0B78" w14:textId="59A291DA" w:rsidR="009E418E" w:rsidRDefault="009E418E" w:rsidP="000B42F7">
      <w:pPr>
        <w:ind w:right="0"/>
      </w:pPr>
    </w:p>
    <w:p w14:paraId="4CC236FB" w14:textId="6AAEBFC5" w:rsidR="00EF7A54" w:rsidRDefault="00EF7A54" w:rsidP="000B42F7">
      <w:pPr>
        <w:ind w:right="0"/>
      </w:pPr>
      <w:r>
        <w:t xml:space="preserve">The results show a low specificity (accuracy in predicting the negative class, Not Franchise QB) of </w:t>
      </w:r>
      <w:r w:rsidR="006D354F">
        <w:t>50%</w:t>
      </w:r>
      <w:r>
        <w:t>, indicating that the model only accurately predicts Not Franchise QBs in half of observations. However, it has a high sensitivity (accuracy in predicting the positive class, Franchise QB) of 88</w:t>
      </w:r>
      <w:r w:rsidR="006D354F">
        <w:t>.</w:t>
      </w:r>
      <w:r>
        <w:t>89</w:t>
      </w:r>
      <w:r w:rsidR="006D354F">
        <w:t>%</w:t>
      </w:r>
      <w:r>
        <w:t xml:space="preserve"> because it only </w:t>
      </w:r>
      <w:r w:rsidR="001F0960">
        <w:t xml:space="preserve">incorrectly predicts </w:t>
      </w:r>
      <w:r w:rsidR="006D354F">
        <w:t>one observation</w:t>
      </w:r>
      <w:r w:rsidR="001F0960">
        <w:t>.</w:t>
      </w:r>
      <w:r w:rsidR="006D354F">
        <w:t xml:space="preserve"> </w:t>
      </w:r>
      <w:r w:rsidR="008D61B6">
        <w:t>This model will provide the probability that Jalen Hurts will become the Eagles Franchise QB</w:t>
      </w:r>
      <w:r w:rsidR="00022406">
        <w:t xml:space="preserve"> in </w:t>
      </w:r>
      <w:r w:rsidR="00022406" w:rsidRPr="00022406">
        <w:rPr>
          <w:b/>
          <w:bCs/>
        </w:rPr>
        <w:fldChar w:fldCharType="begin"/>
      </w:r>
      <w:r w:rsidR="00022406" w:rsidRPr="00022406">
        <w:rPr>
          <w:b/>
          <w:bCs/>
        </w:rPr>
        <w:instrText xml:space="preserve"> REF _Ref117848141 \h </w:instrText>
      </w:r>
      <w:r w:rsidR="00022406" w:rsidRPr="00022406">
        <w:rPr>
          <w:b/>
          <w:bCs/>
        </w:rPr>
      </w:r>
      <w:r w:rsidR="00022406">
        <w:rPr>
          <w:b/>
          <w:bCs/>
        </w:rPr>
        <w:instrText xml:space="preserve"> \* MERGEFORMAT </w:instrText>
      </w:r>
      <w:r w:rsidR="00022406" w:rsidRPr="00022406">
        <w:rPr>
          <w:b/>
          <w:bCs/>
        </w:rPr>
        <w:fldChar w:fldCharType="separate"/>
      </w:r>
      <w:r w:rsidR="00022406" w:rsidRPr="00022406">
        <w:rPr>
          <w:b/>
          <w:bCs/>
        </w:rPr>
        <w:t>4.0 – RECOMMENDATIONS</w:t>
      </w:r>
      <w:r w:rsidR="00022406" w:rsidRPr="00022406">
        <w:rPr>
          <w:b/>
          <w:bCs/>
        </w:rPr>
        <w:fldChar w:fldCharType="end"/>
      </w:r>
      <w:r w:rsidR="006D354F">
        <w:t>.</w:t>
      </w:r>
    </w:p>
    <w:p w14:paraId="7C2FFB0D" w14:textId="4FFD9384" w:rsidR="00A6694B" w:rsidRDefault="00A6694B" w:rsidP="000B42F7">
      <w:pPr>
        <w:ind w:left="0" w:right="0"/>
      </w:pPr>
    </w:p>
    <w:p w14:paraId="4E1109EA" w14:textId="471B9A82" w:rsidR="00404862" w:rsidRDefault="00404862" w:rsidP="000B42F7">
      <w:pPr>
        <w:pStyle w:val="Heading2Custom"/>
        <w:ind w:right="0"/>
      </w:pPr>
      <w:r>
        <w:t>3.2 Predicting Contract Annual Value</w:t>
      </w:r>
      <w:r w:rsidR="00AB4C2E">
        <w:t xml:space="preserve"> (</w:t>
      </w:r>
      <w:r w:rsidR="005C4C22">
        <w:t>AAV</w:t>
      </w:r>
      <w:r w:rsidR="00AB4C2E">
        <w:t>)</w:t>
      </w:r>
    </w:p>
    <w:p w14:paraId="144B877F" w14:textId="3099C8F0" w:rsidR="00404862" w:rsidRDefault="00404862" w:rsidP="000B42F7">
      <w:pPr>
        <w:pStyle w:val="Heading2Custom"/>
        <w:ind w:right="0"/>
      </w:pPr>
    </w:p>
    <w:p w14:paraId="2E22AE24" w14:textId="6022EDD1" w:rsidR="00AB4C2E" w:rsidRDefault="00E52CE4" w:rsidP="000B42F7">
      <w:pPr>
        <w:ind w:right="0"/>
      </w:pPr>
      <w:r>
        <w:t xml:space="preserve">The Contract Annual </w:t>
      </w:r>
      <w:r w:rsidR="00AB4C2E">
        <w:t>V</w:t>
      </w:r>
      <w:r>
        <w:t>alue analysis also evaluate</w:t>
      </w:r>
      <w:r w:rsidR="00083A90">
        <w:t>d</w:t>
      </w:r>
      <w:r>
        <w:t xml:space="preserve"> predictive</w:t>
      </w:r>
      <w:r w:rsidR="00083A90">
        <w:t xml:space="preserve"> linear regression</w:t>
      </w:r>
      <w:r>
        <w:t xml:space="preserve"> models with several variable selection methods. </w:t>
      </w:r>
      <w:r w:rsidR="00083A90">
        <w:t xml:space="preserve">The study considers </w:t>
      </w:r>
      <w:r w:rsidR="00083A90">
        <w:t xml:space="preserve">Best Subsets, Forward Stepwise, Backward Stepwise, Lasso, and Ridge Regression </w:t>
      </w:r>
      <w:r w:rsidR="00640475">
        <w:t xml:space="preserve">variable </w:t>
      </w:r>
      <w:r w:rsidR="00083A90">
        <w:t xml:space="preserve">methods. </w:t>
      </w:r>
      <w:r w:rsidR="00141CDA">
        <w:t>T</w:t>
      </w:r>
      <w:r w:rsidR="00640475">
        <w:t xml:space="preserve">he analysis found the optimized model for each Adjusted </w:t>
      </w:r>
      <w:r w:rsidR="00640475" w:rsidRPr="00640475">
        <w:t>R</w:t>
      </w:r>
      <w:r w:rsidR="00640475" w:rsidRPr="00640475">
        <w:rPr>
          <w:vertAlign w:val="superscript"/>
        </w:rPr>
        <w:t>2</w:t>
      </w:r>
      <w:r w:rsidR="00640475">
        <w:t>, Mallows’ C</w:t>
      </w:r>
      <w:r w:rsidR="00640475">
        <w:rPr>
          <w:vertAlign w:val="subscript"/>
        </w:rPr>
        <w:t>p</w:t>
      </w:r>
      <w:r w:rsidR="00640475">
        <w:t>, and BIC information criteria</w:t>
      </w:r>
      <w:r w:rsidR="00141CDA">
        <w:t xml:space="preserve"> for applicable models</w:t>
      </w:r>
      <w:r w:rsidR="00640475">
        <w:t xml:space="preserve">. </w:t>
      </w:r>
      <w:r w:rsidR="00083A90">
        <w:t>The Consultant randomly assigned the 69 QBs that qualified for the analysis into an 80% training and 20% test datasets.</w:t>
      </w:r>
      <w:r w:rsidR="00141CDA">
        <w:t xml:space="preserve"> Each model </w:t>
      </w:r>
      <w:r w:rsidR="00AB4C2E">
        <w:t>optimized</w:t>
      </w:r>
      <w:r w:rsidR="00141CDA">
        <w:t xml:space="preserve"> against the training data and predicted </w:t>
      </w:r>
      <w:r w:rsidR="005C4C22">
        <w:t>AAV</w:t>
      </w:r>
      <w:r w:rsidR="00AB4C2E">
        <w:t xml:space="preserve"> for each QB in the test data. The analysis</w:t>
      </w:r>
      <w:r w:rsidR="00AB4C2E">
        <w:t xml:space="preserve"> compares prediction accuracy </w:t>
      </w:r>
      <w:r w:rsidR="000B4A6A">
        <w:t>by finding the lowest</w:t>
      </w:r>
      <w:r w:rsidR="00AB4C2E">
        <w:t xml:space="preserve"> Mean Squared Error instead of</w:t>
      </w:r>
      <w:r w:rsidR="000B4A6A">
        <w:t xml:space="preserve"> highest</w:t>
      </w:r>
      <w:r w:rsidR="00AB4C2E">
        <w:t xml:space="preserve"> Overall Accuracy because the response variable is continuous (in contrast to the categorical Franchise QB response variable).</w:t>
      </w:r>
      <w:r w:rsidR="00AB4C2E">
        <w:t xml:space="preserve"> Mean Squared Error is calculated as:</w:t>
      </w:r>
    </w:p>
    <w:p w14:paraId="4B962336" w14:textId="59D19978" w:rsidR="00AB4C2E" w:rsidRDefault="00AB4C2E" w:rsidP="000B42F7">
      <w:pPr>
        <w:ind w:right="0"/>
      </w:pPr>
    </w:p>
    <w:p w14:paraId="58F97C0A" w14:textId="57C41DB0" w:rsidR="00AB4C2E" w:rsidRDefault="00AB4C2E" w:rsidP="000B42F7">
      <w:pPr>
        <w:ind w:right="0"/>
      </w:pPr>
      <m:oMathPara>
        <m:oMath>
          <m:r>
            <w:rPr>
              <w:rFonts w:ascii="Cambria Math" w:hAnsi="Cambria Math"/>
            </w:rPr>
            <m:t xml:space="preserve">Mean Squared Error=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(Predicted APY-Actual APY)</m:t>
                      </m:r>
                    </m:e>
                    <m:sup>
                      <m:r>
                        <w:rPr>
                          <w:rFonts w:ascii="Cambria Math" w:hAnsi="Cambria Math"/>
                        </w:rPr>
                        <m:t>2</m:t>
                      </m:r>
                    </m:sup>
                  </m:sSup>
                </m:e>
              </m:nary>
            </m:num>
            <m:den>
              <m:r>
                <w:rPr>
                  <w:rFonts w:ascii="Cambria Math" w:hAnsi="Cambria Math"/>
                </w:rPr>
                <m:t>n</m:t>
              </m:r>
            </m:den>
          </m:f>
        </m:oMath>
      </m:oMathPara>
    </w:p>
    <w:p w14:paraId="5C8D18BE" w14:textId="2BFB174D" w:rsidR="00E52CE4" w:rsidRDefault="00E52CE4" w:rsidP="000B42F7">
      <w:pPr>
        <w:ind w:right="0"/>
      </w:pPr>
    </w:p>
    <w:p w14:paraId="5AB9BC7D" w14:textId="1551E1AF" w:rsidR="00E52CE4" w:rsidRDefault="00B5295C" w:rsidP="000B42F7">
      <w:pPr>
        <w:ind w:right="0"/>
      </w:pPr>
      <w:r>
        <w:t>The Forward</w:t>
      </w:r>
      <w:r w:rsidR="000B4A6A">
        <w:t xml:space="preserve"> Stepwise Selection Method with BIC information criteria resulted in the best predictions:</w:t>
      </w:r>
    </w:p>
    <w:p w14:paraId="468BAB9C" w14:textId="23136150" w:rsidR="000B4A6A" w:rsidRDefault="000B4A6A" w:rsidP="000B42F7">
      <w:pPr>
        <w:pStyle w:val="Caption"/>
        <w:ind w:right="0"/>
      </w:pPr>
      <w:r>
        <w:t xml:space="preserve">Table </w:t>
      </w:r>
      <w:r>
        <w:fldChar w:fldCharType="begin"/>
      </w:r>
      <w:r>
        <w:instrText xml:space="preserve"> SEQ Table \* ARABIC </w:instrText>
      </w:r>
      <w:r>
        <w:fldChar w:fldCharType="separate"/>
      </w:r>
      <w:r w:rsidR="00E02EAD">
        <w:rPr>
          <w:noProof/>
        </w:rPr>
        <w:t>7</w:t>
      </w:r>
      <w:r>
        <w:fldChar w:fldCharType="end"/>
      </w:r>
      <w:r>
        <w:t>. MSE</w:t>
      </w:r>
      <w:r w:rsidR="00546176">
        <w:t xml:space="preserve"> of </w:t>
      </w:r>
      <w:r w:rsidR="005C4C22">
        <w:t>AAV</w:t>
      </w:r>
      <w:r w:rsidR="00546176">
        <w:t xml:space="preserve"> predictions</w:t>
      </w:r>
      <w:r w:rsidRPr="00981D8E">
        <w:t xml:space="preserve"> by </w:t>
      </w:r>
      <w:r>
        <w:t>Variable Selection and Information Criteria</w:t>
      </w:r>
    </w:p>
    <w:tbl>
      <w:tblPr>
        <w:tblStyle w:val="TableGrid"/>
        <w:tblW w:w="0" w:type="auto"/>
        <w:tblInd w:w="720" w:type="dxa"/>
        <w:tblLook w:val="04A0" w:firstRow="1" w:lastRow="0" w:firstColumn="1" w:lastColumn="0" w:noHBand="0" w:noVBand="1"/>
      </w:tblPr>
      <w:tblGrid>
        <w:gridCol w:w="3124"/>
        <w:gridCol w:w="3145"/>
        <w:gridCol w:w="3081"/>
      </w:tblGrid>
      <w:tr w:rsidR="000B4A6A" w14:paraId="7B06DE3D" w14:textId="77777777" w:rsidTr="000B4A6A">
        <w:tc>
          <w:tcPr>
            <w:tcW w:w="3124" w:type="dxa"/>
          </w:tcPr>
          <w:p w14:paraId="1D4AAD3D" w14:textId="72C2093D" w:rsidR="000B4A6A" w:rsidRPr="000B4A6A" w:rsidRDefault="000B4A6A" w:rsidP="000B42F7">
            <w:pPr>
              <w:ind w:left="0" w:right="0"/>
              <w:jc w:val="center"/>
              <w:rPr>
                <w:rFonts w:cs="Arial"/>
                <w:b/>
                <w:bCs/>
              </w:rPr>
            </w:pPr>
            <w:r w:rsidRPr="000B4A6A">
              <w:rPr>
                <w:rFonts w:cs="Arial"/>
                <w:b/>
                <w:bCs/>
              </w:rPr>
              <w:t>Variable Selection Method</w:t>
            </w:r>
          </w:p>
        </w:tc>
        <w:tc>
          <w:tcPr>
            <w:tcW w:w="3145" w:type="dxa"/>
          </w:tcPr>
          <w:p w14:paraId="54E4CA69" w14:textId="2A34AB94" w:rsidR="000B4A6A" w:rsidRPr="000B4A6A" w:rsidRDefault="000B4A6A" w:rsidP="000B42F7">
            <w:pPr>
              <w:ind w:left="0" w:right="0"/>
              <w:jc w:val="center"/>
              <w:rPr>
                <w:rFonts w:cs="Arial"/>
                <w:b/>
                <w:bCs/>
              </w:rPr>
            </w:pPr>
            <w:r w:rsidRPr="000B4A6A">
              <w:rPr>
                <w:rFonts w:cs="Arial"/>
                <w:b/>
                <w:bCs/>
              </w:rPr>
              <w:t>Information Criteria</w:t>
            </w:r>
          </w:p>
        </w:tc>
        <w:tc>
          <w:tcPr>
            <w:tcW w:w="3081" w:type="dxa"/>
          </w:tcPr>
          <w:p w14:paraId="68360265" w14:textId="22FDFC8F" w:rsidR="000B4A6A" w:rsidRPr="000B4A6A" w:rsidRDefault="000B4A6A" w:rsidP="000B42F7">
            <w:pPr>
              <w:ind w:left="0" w:right="0"/>
              <w:jc w:val="center"/>
              <w:rPr>
                <w:rFonts w:cs="Arial"/>
                <w:b/>
                <w:bCs/>
              </w:rPr>
            </w:pPr>
            <w:r w:rsidRPr="000B4A6A">
              <w:rPr>
                <w:rFonts w:cs="Arial"/>
                <w:b/>
                <w:bCs/>
              </w:rPr>
              <w:t>MSE</w:t>
            </w:r>
          </w:p>
        </w:tc>
      </w:tr>
      <w:tr w:rsidR="000B4A6A" w:rsidRPr="000B4A6A" w14:paraId="6C3FEE8E" w14:textId="77777777" w:rsidTr="000B4A6A">
        <w:trPr>
          <w:trHeight w:val="300"/>
        </w:trPr>
        <w:tc>
          <w:tcPr>
            <w:tcW w:w="3124" w:type="dxa"/>
            <w:noWrap/>
            <w:hideMark/>
          </w:tcPr>
          <w:p w14:paraId="156E3FDE" w14:textId="77777777" w:rsidR="000B4A6A" w:rsidRPr="000B4A6A" w:rsidRDefault="000B4A6A" w:rsidP="000B42F7">
            <w:pPr>
              <w:ind w:left="0" w:right="0"/>
              <w:jc w:val="left"/>
              <w:rPr>
                <w:rFonts w:cs="Arial"/>
                <w:color w:val="000000"/>
              </w:rPr>
            </w:pPr>
            <w:r w:rsidRPr="000B4A6A">
              <w:rPr>
                <w:rFonts w:cs="Arial"/>
                <w:color w:val="000000"/>
              </w:rPr>
              <w:t>Forward Stepwise</w:t>
            </w:r>
          </w:p>
        </w:tc>
        <w:tc>
          <w:tcPr>
            <w:tcW w:w="3145" w:type="dxa"/>
            <w:noWrap/>
            <w:hideMark/>
          </w:tcPr>
          <w:p w14:paraId="4194D1D5" w14:textId="77777777" w:rsidR="000B4A6A" w:rsidRPr="000B4A6A" w:rsidRDefault="000B4A6A" w:rsidP="000B42F7">
            <w:pPr>
              <w:ind w:left="0" w:right="0"/>
              <w:jc w:val="left"/>
              <w:rPr>
                <w:rFonts w:cs="Arial"/>
                <w:color w:val="000000"/>
              </w:rPr>
            </w:pPr>
            <w:r w:rsidRPr="000B4A6A">
              <w:rPr>
                <w:rFonts w:cs="Arial"/>
                <w:color w:val="000000"/>
              </w:rPr>
              <w:t>BIC</w:t>
            </w:r>
          </w:p>
        </w:tc>
        <w:tc>
          <w:tcPr>
            <w:tcW w:w="3081" w:type="dxa"/>
            <w:noWrap/>
            <w:hideMark/>
          </w:tcPr>
          <w:p w14:paraId="0542BC56" w14:textId="77777777" w:rsidR="000B4A6A" w:rsidRPr="000B4A6A" w:rsidRDefault="000B4A6A" w:rsidP="000B42F7">
            <w:pPr>
              <w:ind w:left="0" w:right="0"/>
              <w:jc w:val="right"/>
              <w:rPr>
                <w:rFonts w:cs="Arial"/>
                <w:color w:val="000000"/>
              </w:rPr>
            </w:pPr>
            <w:r w:rsidRPr="000B4A6A">
              <w:rPr>
                <w:rFonts w:cs="Arial"/>
                <w:color w:val="000000"/>
              </w:rPr>
              <w:t>116.19</w:t>
            </w:r>
          </w:p>
        </w:tc>
      </w:tr>
      <w:tr w:rsidR="000B4A6A" w:rsidRPr="000B4A6A" w14:paraId="3EFC3B17" w14:textId="77777777" w:rsidTr="000B4A6A">
        <w:trPr>
          <w:trHeight w:val="300"/>
        </w:trPr>
        <w:tc>
          <w:tcPr>
            <w:tcW w:w="3124" w:type="dxa"/>
            <w:noWrap/>
            <w:hideMark/>
          </w:tcPr>
          <w:p w14:paraId="6BAFAA14" w14:textId="77777777" w:rsidR="000B4A6A" w:rsidRPr="000B4A6A" w:rsidRDefault="000B4A6A" w:rsidP="000B42F7">
            <w:pPr>
              <w:ind w:left="0" w:right="0"/>
              <w:jc w:val="left"/>
              <w:rPr>
                <w:rFonts w:cs="Arial"/>
                <w:color w:val="000000"/>
              </w:rPr>
            </w:pPr>
            <w:r w:rsidRPr="000B4A6A">
              <w:rPr>
                <w:rFonts w:cs="Arial"/>
                <w:color w:val="000000"/>
              </w:rPr>
              <w:lastRenderedPageBreak/>
              <w:t>Best Subsets</w:t>
            </w:r>
          </w:p>
        </w:tc>
        <w:tc>
          <w:tcPr>
            <w:tcW w:w="3145" w:type="dxa"/>
            <w:noWrap/>
            <w:hideMark/>
          </w:tcPr>
          <w:p w14:paraId="4D1CC211" w14:textId="77777777" w:rsidR="000B4A6A" w:rsidRPr="000B4A6A" w:rsidRDefault="000B4A6A" w:rsidP="000B42F7">
            <w:pPr>
              <w:ind w:left="0" w:right="0"/>
              <w:jc w:val="left"/>
              <w:rPr>
                <w:rFonts w:cs="Arial"/>
                <w:color w:val="000000"/>
              </w:rPr>
            </w:pPr>
            <w:r w:rsidRPr="000B4A6A">
              <w:rPr>
                <w:rFonts w:cs="Arial"/>
                <w:color w:val="000000"/>
              </w:rPr>
              <w:t>BIC</w:t>
            </w:r>
          </w:p>
        </w:tc>
        <w:tc>
          <w:tcPr>
            <w:tcW w:w="3081" w:type="dxa"/>
            <w:noWrap/>
            <w:hideMark/>
          </w:tcPr>
          <w:p w14:paraId="634DE94E" w14:textId="77777777" w:rsidR="000B4A6A" w:rsidRPr="000B4A6A" w:rsidRDefault="000B4A6A" w:rsidP="000B42F7">
            <w:pPr>
              <w:ind w:left="0" w:right="0"/>
              <w:jc w:val="right"/>
              <w:rPr>
                <w:rFonts w:cs="Arial"/>
                <w:color w:val="000000"/>
              </w:rPr>
            </w:pPr>
            <w:r w:rsidRPr="000B4A6A">
              <w:rPr>
                <w:rFonts w:cs="Arial"/>
                <w:color w:val="000000"/>
              </w:rPr>
              <w:t>122.77</w:t>
            </w:r>
          </w:p>
        </w:tc>
      </w:tr>
      <w:tr w:rsidR="000B4A6A" w:rsidRPr="000B4A6A" w14:paraId="5537B11B" w14:textId="77777777" w:rsidTr="000B4A6A">
        <w:trPr>
          <w:trHeight w:val="300"/>
        </w:trPr>
        <w:tc>
          <w:tcPr>
            <w:tcW w:w="3124" w:type="dxa"/>
            <w:noWrap/>
            <w:hideMark/>
          </w:tcPr>
          <w:p w14:paraId="6D73AE74"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09F894D3" w14:textId="77777777" w:rsidR="000B4A6A" w:rsidRPr="000B4A6A" w:rsidRDefault="000B4A6A" w:rsidP="000B42F7">
            <w:pPr>
              <w:ind w:left="0" w:right="0"/>
              <w:jc w:val="left"/>
              <w:rPr>
                <w:rFonts w:cs="Arial"/>
                <w:color w:val="000000"/>
              </w:rPr>
            </w:pPr>
            <w:r w:rsidRPr="000B4A6A">
              <w:rPr>
                <w:rFonts w:cs="Arial"/>
                <w:color w:val="000000"/>
              </w:rPr>
              <w:t>BIC</w:t>
            </w:r>
          </w:p>
        </w:tc>
        <w:tc>
          <w:tcPr>
            <w:tcW w:w="3081" w:type="dxa"/>
            <w:noWrap/>
            <w:hideMark/>
          </w:tcPr>
          <w:p w14:paraId="20721FB9" w14:textId="77777777" w:rsidR="000B4A6A" w:rsidRPr="000B4A6A" w:rsidRDefault="000B4A6A" w:rsidP="000B42F7">
            <w:pPr>
              <w:ind w:left="0" w:right="0"/>
              <w:jc w:val="right"/>
              <w:rPr>
                <w:rFonts w:cs="Arial"/>
                <w:color w:val="000000"/>
              </w:rPr>
            </w:pPr>
            <w:r w:rsidRPr="000B4A6A">
              <w:rPr>
                <w:rFonts w:cs="Arial"/>
                <w:color w:val="000000"/>
              </w:rPr>
              <w:t>122.77</w:t>
            </w:r>
          </w:p>
        </w:tc>
      </w:tr>
      <w:tr w:rsidR="000B4A6A" w:rsidRPr="000B4A6A" w14:paraId="4DCA2194" w14:textId="77777777" w:rsidTr="000B4A6A">
        <w:trPr>
          <w:trHeight w:val="300"/>
        </w:trPr>
        <w:tc>
          <w:tcPr>
            <w:tcW w:w="3124" w:type="dxa"/>
            <w:noWrap/>
            <w:hideMark/>
          </w:tcPr>
          <w:p w14:paraId="54923BCA" w14:textId="77777777" w:rsidR="000B4A6A" w:rsidRPr="000B4A6A" w:rsidRDefault="000B4A6A" w:rsidP="000B42F7">
            <w:pPr>
              <w:ind w:left="0" w:right="0"/>
              <w:jc w:val="left"/>
              <w:rPr>
                <w:rFonts w:cs="Arial"/>
                <w:color w:val="000000"/>
              </w:rPr>
            </w:pPr>
            <w:r w:rsidRPr="000B4A6A">
              <w:rPr>
                <w:rFonts w:cs="Arial"/>
                <w:color w:val="000000"/>
              </w:rPr>
              <w:t>Ridge Regression</w:t>
            </w:r>
          </w:p>
        </w:tc>
        <w:tc>
          <w:tcPr>
            <w:tcW w:w="3145" w:type="dxa"/>
            <w:noWrap/>
            <w:hideMark/>
          </w:tcPr>
          <w:p w14:paraId="090C8C34" w14:textId="77777777" w:rsidR="000B4A6A" w:rsidRPr="000B4A6A" w:rsidRDefault="000B4A6A" w:rsidP="000B42F7">
            <w:pPr>
              <w:ind w:left="0" w:right="0"/>
              <w:jc w:val="left"/>
              <w:rPr>
                <w:rFonts w:cs="Arial"/>
                <w:color w:val="000000"/>
              </w:rPr>
            </w:pPr>
            <w:r w:rsidRPr="000B4A6A">
              <w:rPr>
                <w:rFonts w:cs="Arial"/>
                <w:color w:val="000000"/>
              </w:rPr>
              <w:t>N/A</w:t>
            </w:r>
          </w:p>
        </w:tc>
        <w:tc>
          <w:tcPr>
            <w:tcW w:w="3081" w:type="dxa"/>
            <w:noWrap/>
            <w:hideMark/>
          </w:tcPr>
          <w:p w14:paraId="416B55DF" w14:textId="77777777" w:rsidR="000B4A6A" w:rsidRPr="000B4A6A" w:rsidRDefault="000B4A6A" w:rsidP="000B42F7">
            <w:pPr>
              <w:ind w:left="0" w:right="0"/>
              <w:jc w:val="right"/>
              <w:rPr>
                <w:rFonts w:cs="Arial"/>
                <w:color w:val="000000"/>
              </w:rPr>
            </w:pPr>
            <w:r w:rsidRPr="000B4A6A">
              <w:rPr>
                <w:rFonts w:cs="Arial"/>
                <w:color w:val="000000"/>
              </w:rPr>
              <w:t>126.74</w:t>
            </w:r>
          </w:p>
        </w:tc>
      </w:tr>
      <w:tr w:rsidR="000B4A6A" w:rsidRPr="000B4A6A" w14:paraId="1607F7A5" w14:textId="77777777" w:rsidTr="000B4A6A">
        <w:trPr>
          <w:trHeight w:val="300"/>
        </w:trPr>
        <w:tc>
          <w:tcPr>
            <w:tcW w:w="3124" w:type="dxa"/>
            <w:noWrap/>
            <w:hideMark/>
          </w:tcPr>
          <w:p w14:paraId="5E77153D" w14:textId="77777777" w:rsidR="000B4A6A" w:rsidRPr="000B4A6A" w:rsidRDefault="000B4A6A" w:rsidP="000B42F7">
            <w:pPr>
              <w:ind w:left="0" w:right="0"/>
              <w:jc w:val="left"/>
              <w:rPr>
                <w:rFonts w:cs="Arial"/>
                <w:color w:val="000000"/>
              </w:rPr>
            </w:pPr>
            <w:r w:rsidRPr="000B4A6A">
              <w:rPr>
                <w:rFonts w:cs="Arial"/>
                <w:color w:val="000000"/>
              </w:rPr>
              <w:t>Lasso</w:t>
            </w:r>
          </w:p>
        </w:tc>
        <w:tc>
          <w:tcPr>
            <w:tcW w:w="3145" w:type="dxa"/>
            <w:noWrap/>
            <w:hideMark/>
          </w:tcPr>
          <w:p w14:paraId="1976A346" w14:textId="77777777" w:rsidR="000B4A6A" w:rsidRPr="000B4A6A" w:rsidRDefault="000B4A6A" w:rsidP="000B42F7">
            <w:pPr>
              <w:ind w:left="0" w:right="0"/>
              <w:jc w:val="left"/>
              <w:rPr>
                <w:rFonts w:cs="Arial"/>
                <w:color w:val="000000"/>
              </w:rPr>
            </w:pPr>
            <w:r w:rsidRPr="000B4A6A">
              <w:rPr>
                <w:rFonts w:cs="Arial"/>
                <w:color w:val="000000"/>
              </w:rPr>
              <w:t>N/A</w:t>
            </w:r>
          </w:p>
        </w:tc>
        <w:tc>
          <w:tcPr>
            <w:tcW w:w="3081" w:type="dxa"/>
            <w:noWrap/>
            <w:hideMark/>
          </w:tcPr>
          <w:p w14:paraId="77626D4C" w14:textId="77777777" w:rsidR="000B4A6A" w:rsidRPr="000B4A6A" w:rsidRDefault="000B4A6A" w:rsidP="000B42F7">
            <w:pPr>
              <w:ind w:left="0" w:right="0"/>
              <w:jc w:val="right"/>
              <w:rPr>
                <w:rFonts w:cs="Arial"/>
                <w:color w:val="000000"/>
              </w:rPr>
            </w:pPr>
            <w:r w:rsidRPr="000B4A6A">
              <w:rPr>
                <w:rFonts w:cs="Arial"/>
                <w:color w:val="000000"/>
              </w:rPr>
              <w:t>137</w:t>
            </w:r>
          </w:p>
        </w:tc>
      </w:tr>
      <w:tr w:rsidR="000B4A6A" w:rsidRPr="000B4A6A" w14:paraId="12CFF888" w14:textId="77777777" w:rsidTr="000B4A6A">
        <w:trPr>
          <w:trHeight w:val="300"/>
        </w:trPr>
        <w:tc>
          <w:tcPr>
            <w:tcW w:w="3124" w:type="dxa"/>
            <w:noWrap/>
            <w:hideMark/>
          </w:tcPr>
          <w:p w14:paraId="4AB4324F"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7DFAD178" w14:textId="77777777" w:rsidR="000B4A6A" w:rsidRPr="000B4A6A" w:rsidRDefault="000B4A6A" w:rsidP="000B42F7">
            <w:pPr>
              <w:ind w:left="0" w:right="0"/>
              <w:jc w:val="left"/>
              <w:rPr>
                <w:rFonts w:cs="Arial"/>
                <w:color w:val="000000"/>
              </w:rPr>
            </w:pPr>
            <w:r w:rsidRPr="000B4A6A">
              <w:rPr>
                <w:rFonts w:cs="Arial"/>
                <w:color w:val="000000"/>
              </w:rPr>
              <w:t>Adj R^2</w:t>
            </w:r>
          </w:p>
        </w:tc>
        <w:tc>
          <w:tcPr>
            <w:tcW w:w="3081" w:type="dxa"/>
            <w:noWrap/>
            <w:hideMark/>
          </w:tcPr>
          <w:p w14:paraId="1A42E175" w14:textId="77777777" w:rsidR="000B4A6A" w:rsidRPr="000B4A6A" w:rsidRDefault="000B4A6A" w:rsidP="000B42F7">
            <w:pPr>
              <w:ind w:left="0" w:right="0"/>
              <w:jc w:val="right"/>
              <w:rPr>
                <w:rFonts w:cs="Arial"/>
                <w:color w:val="000000"/>
              </w:rPr>
            </w:pPr>
            <w:r w:rsidRPr="000B4A6A">
              <w:rPr>
                <w:rFonts w:cs="Arial"/>
                <w:color w:val="000000"/>
              </w:rPr>
              <w:t>157.99</w:t>
            </w:r>
          </w:p>
        </w:tc>
      </w:tr>
      <w:tr w:rsidR="000B4A6A" w:rsidRPr="000B4A6A" w14:paraId="26668467" w14:textId="77777777" w:rsidTr="000B4A6A">
        <w:trPr>
          <w:trHeight w:val="300"/>
        </w:trPr>
        <w:tc>
          <w:tcPr>
            <w:tcW w:w="3124" w:type="dxa"/>
            <w:noWrap/>
            <w:hideMark/>
          </w:tcPr>
          <w:p w14:paraId="4F7E47A1" w14:textId="77777777" w:rsidR="000B4A6A" w:rsidRPr="000B4A6A" w:rsidRDefault="000B4A6A" w:rsidP="000B42F7">
            <w:pPr>
              <w:ind w:left="0" w:right="0"/>
              <w:jc w:val="left"/>
              <w:rPr>
                <w:rFonts w:cs="Arial"/>
                <w:color w:val="000000"/>
              </w:rPr>
            </w:pPr>
            <w:r w:rsidRPr="000B4A6A">
              <w:rPr>
                <w:rFonts w:cs="Arial"/>
                <w:color w:val="000000"/>
              </w:rPr>
              <w:t>Forward Stepwise</w:t>
            </w:r>
          </w:p>
        </w:tc>
        <w:tc>
          <w:tcPr>
            <w:tcW w:w="3145" w:type="dxa"/>
            <w:noWrap/>
            <w:hideMark/>
          </w:tcPr>
          <w:p w14:paraId="3A8EDD9B" w14:textId="77777777" w:rsidR="000B4A6A" w:rsidRPr="000B4A6A" w:rsidRDefault="000B4A6A" w:rsidP="000B42F7">
            <w:pPr>
              <w:ind w:left="0" w:right="0"/>
              <w:jc w:val="left"/>
              <w:rPr>
                <w:rFonts w:cs="Arial"/>
                <w:color w:val="000000"/>
              </w:rPr>
            </w:pPr>
            <w:r w:rsidRPr="000B4A6A">
              <w:rPr>
                <w:rFonts w:cs="Arial"/>
                <w:color w:val="000000"/>
              </w:rPr>
              <w:t>Adj R^2</w:t>
            </w:r>
          </w:p>
        </w:tc>
        <w:tc>
          <w:tcPr>
            <w:tcW w:w="3081" w:type="dxa"/>
            <w:noWrap/>
            <w:hideMark/>
          </w:tcPr>
          <w:p w14:paraId="15D84F4A" w14:textId="77777777" w:rsidR="000B4A6A" w:rsidRPr="000B4A6A" w:rsidRDefault="000B4A6A" w:rsidP="000B42F7">
            <w:pPr>
              <w:ind w:left="0" w:right="0"/>
              <w:jc w:val="right"/>
              <w:rPr>
                <w:rFonts w:cs="Arial"/>
                <w:color w:val="000000"/>
              </w:rPr>
            </w:pPr>
            <w:r w:rsidRPr="000B4A6A">
              <w:rPr>
                <w:rFonts w:cs="Arial"/>
                <w:color w:val="000000"/>
              </w:rPr>
              <w:t>157.99</w:t>
            </w:r>
          </w:p>
        </w:tc>
      </w:tr>
      <w:tr w:rsidR="000B4A6A" w:rsidRPr="000B4A6A" w14:paraId="1EFFBFA5" w14:textId="77777777" w:rsidTr="000B4A6A">
        <w:trPr>
          <w:trHeight w:val="300"/>
        </w:trPr>
        <w:tc>
          <w:tcPr>
            <w:tcW w:w="3124" w:type="dxa"/>
            <w:noWrap/>
            <w:hideMark/>
          </w:tcPr>
          <w:p w14:paraId="45F237F0"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7858C7D4" w14:textId="77777777" w:rsidR="000B4A6A" w:rsidRPr="000B4A6A" w:rsidRDefault="000B4A6A" w:rsidP="000B42F7">
            <w:pPr>
              <w:ind w:left="0" w:right="0"/>
              <w:jc w:val="left"/>
              <w:rPr>
                <w:rFonts w:cs="Arial"/>
                <w:color w:val="000000"/>
              </w:rPr>
            </w:pPr>
            <w:r w:rsidRPr="000B4A6A">
              <w:rPr>
                <w:rFonts w:cs="Arial"/>
                <w:color w:val="000000"/>
              </w:rPr>
              <w:t>Adj R^2</w:t>
            </w:r>
          </w:p>
        </w:tc>
        <w:tc>
          <w:tcPr>
            <w:tcW w:w="3081" w:type="dxa"/>
            <w:noWrap/>
            <w:hideMark/>
          </w:tcPr>
          <w:p w14:paraId="00F70176" w14:textId="77777777" w:rsidR="000B4A6A" w:rsidRPr="000B4A6A" w:rsidRDefault="000B4A6A" w:rsidP="000B42F7">
            <w:pPr>
              <w:ind w:left="0" w:right="0"/>
              <w:jc w:val="right"/>
              <w:rPr>
                <w:rFonts w:cs="Arial"/>
                <w:color w:val="000000"/>
              </w:rPr>
            </w:pPr>
            <w:r w:rsidRPr="000B4A6A">
              <w:rPr>
                <w:rFonts w:cs="Arial"/>
                <w:color w:val="000000"/>
              </w:rPr>
              <w:t>157.99</w:t>
            </w:r>
          </w:p>
        </w:tc>
      </w:tr>
      <w:tr w:rsidR="000B4A6A" w:rsidRPr="000B4A6A" w14:paraId="65D9392B" w14:textId="77777777" w:rsidTr="000B4A6A">
        <w:trPr>
          <w:trHeight w:val="300"/>
        </w:trPr>
        <w:tc>
          <w:tcPr>
            <w:tcW w:w="3124" w:type="dxa"/>
            <w:noWrap/>
            <w:hideMark/>
          </w:tcPr>
          <w:p w14:paraId="5467E420" w14:textId="77777777" w:rsidR="000B4A6A" w:rsidRPr="000B4A6A" w:rsidRDefault="000B4A6A" w:rsidP="000B42F7">
            <w:pPr>
              <w:ind w:left="0" w:right="0"/>
              <w:jc w:val="left"/>
              <w:rPr>
                <w:rFonts w:cs="Arial"/>
                <w:color w:val="000000"/>
              </w:rPr>
            </w:pPr>
            <w:r w:rsidRPr="000B4A6A">
              <w:rPr>
                <w:rFonts w:cs="Arial"/>
                <w:color w:val="000000"/>
              </w:rPr>
              <w:t>Forward Stepwise</w:t>
            </w:r>
          </w:p>
        </w:tc>
        <w:tc>
          <w:tcPr>
            <w:tcW w:w="3145" w:type="dxa"/>
            <w:noWrap/>
            <w:hideMark/>
          </w:tcPr>
          <w:p w14:paraId="30A77408" w14:textId="77777777" w:rsidR="000B4A6A" w:rsidRPr="000B4A6A" w:rsidRDefault="000B4A6A" w:rsidP="000B42F7">
            <w:pPr>
              <w:ind w:left="0" w:right="0"/>
              <w:jc w:val="left"/>
              <w:rPr>
                <w:rFonts w:cs="Arial"/>
                <w:color w:val="000000"/>
              </w:rPr>
            </w:pPr>
            <w:r w:rsidRPr="000B4A6A">
              <w:rPr>
                <w:rFonts w:cs="Arial"/>
                <w:color w:val="000000"/>
              </w:rPr>
              <w:t>Cp</w:t>
            </w:r>
          </w:p>
        </w:tc>
        <w:tc>
          <w:tcPr>
            <w:tcW w:w="3081" w:type="dxa"/>
            <w:noWrap/>
            <w:hideMark/>
          </w:tcPr>
          <w:p w14:paraId="231B3551" w14:textId="77777777" w:rsidR="000B4A6A" w:rsidRPr="000B4A6A" w:rsidRDefault="000B4A6A" w:rsidP="000B42F7">
            <w:pPr>
              <w:ind w:left="0" w:right="0"/>
              <w:jc w:val="right"/>
              <w:rPr>
                <w:rFonts w:cs="Arial"/>
                <w:color w:val="000000"/>
              </w:rPr>
            </w:pPr>
            <w:r w:rsidRPr="000B4A6A">
              <w:rPr>
                <w:rFonts w:cs="Arial"/>
                <w:color w:val="000000"/>
              </w:rPr>
              <w:t>162.52</w:t>
            </w:r>
          </w:p>
        </w:tc>
      </w:tr>
      <w:tr w:rsidR="000B4A6A" w:rsidRPr="000B4A6A" w14:paraId="36844B1F" w14:textId="77777777" w:rsidTr="000B4A6A">
        <w:trPr>
          <w:trHeight w:val="300"/>
        </w:trPr>
        <w:tc>
          <w:tcPr>
            <w:tcW w:w="3124" w:type="dxa"/>
            <w:noWrap/>
            <w:hideMark/>
          </w:tcPr>
          <w:p w14:paraId="5973112B"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2E6683B3" w14:textId="77777777" w:rsidR="000B4A6A" w:rsidRPr="000B4A6A" w:rsidRDefault="000B4A6A" w:rsidP="000B42F7">
            <w:pPr>
              <w:ind w:left="0" w:right="0"/>
              <w:jc w:val="left"/>
              <w:rPr>
                <w:rFonts w:cs="Arial"/>
                <w:color w:val="000000"/>
              </w:rPr>
            </w:pPr>
            <w:r w:rsidRPr="000B4A6A">
              <w:rPr>
                <w:rFonts w:cs="Arial"/>
                <w:color w:val="000000"/>
              </w:rPr>
              <w:t>Cp</w:t>
            </w:r>
          </w:p>
        </w:tc>
        <w:tc>
          <w:tcPr>
            <w:tcW w:w="3081" w:type="dxa"/>
            <w:noWrap/>
            <w:hideMark/>
          </w:tcPr>
          <w:p w14:paraId="2DD74524" w14:textId="77777777" w:rsidR="000B4A6A" w:rsidRPr="000B4A6A" w:rsidRDefault="000B4A6A" w:rsidP="000B42F7">
            <w:pPr>
              <w:ind w:left="0" w:right="0"/>
              <w:jc w:val="right"/>
              <w:rPr>
                <w:rFonts w:cs="Arial"/>
                <w:color w:val="000000"/>
              </w:rPr>
            </w:pPr>
            <w:r w:rsidRPr="000B4A6A">
              <w:rPr>
                <w:rFonts w:cs="Arial"/>
                <w:color w:val="000000"/>
              </w:rPr>
              <w:t>172.94</w:t>
            </w:r>
          </w:p>
        </w:tc>
      </w:tr>
      <w:tr w:rsidR="000B4A6A" w:rsidRPr="000B4A6A" w14:paraId="312B42F0" w14:textId="77777777" w:rsidTr="000B4A6A">
        <w:trPr>
          <w:trHeight w:val="300"/>
        </w:trPr>
        <w:tc>
          <w:tcPr>
            <w:tcW w:w="3124" w:type="dxa"/>
            <w:noWrap/>
            <w:hideMark/>
          </w:tcPr>
          <w:p w14:paraId="0C42C453"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78725261" w14:textId="77777777" w:rsidR="000B4A6A" w:rsidRPr="000B4A6A" w:rsidRDefault="000B4A6A" w:rsidP="000B42F7">
            <w:pPr>
              <w:ind w:left="0" w:right="0"/>
              <w:jc w:val="left"/>
              <w:rPr>
                <w:rFonts w:cs="Arial"/>
                <w:color w:val="000000"/>
              </w:rPr>
            </w:pPr>
            <w:r w:rsidRPr="000B4A6A">
              <w:rPr>
                <w:rFonts w:cs="Arial"/>
                <w:color w:val="000000"/>
              </w:rPr>
              <w:t>Cp</w:t>
            </w:r>
          </w:p>
        </w:tc>
        <w:tc>
          <w:tcPr>
            <w:tcW w:w="3081" w:type="dxa"/>
            <w:noWrap/>
            <w:hideMark/>
          </w:tcPr>
          <w:p w14:paraId="54CF5636" w14:textId="77777777" w:rsidR="000B4A6A" w:rsidRPr="000B4A6A" w:rsidRDefault="000B4A6A" w:rsidP="000B42F7">
            <w:pPr>
              <w:ind w:left="0" w:right="0"/>
              <w:jc w:val="right"/>
              <w:rPr>
                <w:rFonts w:cs="Arial"/>
                <w:color w:val="000000"/>
              </w:rPr>
            </w:pPr>
            <w:r w:rsidRPr="000B4A6A">
              <w:rPr>
                <w:rFonts w:cs="Arial"/>
                <w:color w:val="000000"/>
              </w:rPr>
              <w:t>172.94</w:t>
            </w:r>
          </w:p>
        </w:tc>
      </w:tr>
    </w:tbl>
    <w:p w14:paraId="014BB717" w14:textId="77777777" w:rsidR="000B4A6A" w:rsidRDefault="000B4A6A" w:rsidP="000B42F7">
      <w:pPr>
        <w:ind w:right="0"/>
      </w:pPr>
    </w:p>
    <w:p w14:paraId="46341B93" w14:textId="5812BF60" w:rsidR="00E52CE4" w:rsidRDefault="00E52CE4" w:rsidP="000B42F7">
      <w:pPr>
        <w:ind w:right="0"/>
      </w:pPr>
    </w:p>
    <w:p w14:paraId="7F4A70EB" w14:textId="2B568F1A" w:rsidR="00AD3BCA" w:rsidRDefault="00FB195C" w:rsidP="00AD3BCA">
      <w:pPr>
        <w:ind w:right="0"/>
      </w:pPr>
      <w:r>
        <w:t>The top predictive model results in an intuitive linear regression</w:t>
      </w:r>
      <w:r w:rsidR="000B42F7">
        <w:t xml:space="preserve"> with </w:t>
      </w:r>
      <w:r w:rsidR="00247577">
        <w:t>p</w:t>
      </w:r>
      <w:r w:rsidR="000B42F7">
        <w:t>-values below 0.1</w:t>
      </w:r>
      <w:r w:rsidR="00AD3BCA" w:rsidRPr="00AD3BCA">
        <w:t xml:space="preserve"> </w:t>
      </w:r>
      <w:r w:rsidR="00AD3BCA">
        <w:t xml:space="preserve">as shown in </w:t>
      </w:r>
      <w:r w:rsidR="00AD3BCA" w:rsidRPr="00AD3BCA">
        <w:rPr>
          <w:i/>
          <w:iCs/>
        </w:rPr>
        <w:fldChar w:fldCharType="begin"/>
      </w:r>
      <w:r w:rsidR="00AD3BCA" w:rsidRPr="00AD3BCA">
        <w:rPr>
          <w:i/>
          <w:iCs/>
        </w:rPr>
        <w:instrText xml:space="preserve"> REF _Ref117855313 \h </w:instrText>
      </w:r>
      <w:r w:rsidR="00AD3BCA" w:rsidRPr="00AD3BCA">
        <w:rPr>
          <w:i/>
          <w:iCs/>
        </w:rPr>
      </w:r>
      <w:r w:rsidR="00AD3BCA">
        <w:rPr>
          <w:i/>
          <w:iCs/>
        </w:rPr>
        <w:instrText xml:space="preserve"> \* MERGEFORMAT </w:instrText>
      </w:r>
      <w:r w:rsidR="00AD3BCA" w:rsidRPr="00AD3BCA">
        <w:rPr>
          <w:i/>
          <w:iCs/>
        </w:rPr>
        <w:fldChar w:fldCharType="separate"/>
      </w:r>
      <w:r w:rsidR="00AD3BCA" w:rsidRPr="00AD3BCA">
        <w:rPr>
          <w:i/>
          <w:iCs/>
        </w:rPr>
        <w:t xml:space="preserve">Table </w:t>
      </w:r>
      <w:r w:rsidR="00AD3BCA" w:rsidRPr="00AD3BCA">
        <w:rPr>
          <w:i/>
          <w:iCs/>
          <w:noProof/>
        </w:rPr>
        <w:t>8</w:t>
      </w:r>
      <w:r w:rsidR="00AD3BCA" w:rsidRPr="00AD3BCA">
        <w:rPr>
          <w:i/>
          <w:iCs/>
        </w:rPr>
        <w:fldChar w:fldCharType="end"/>
      </w:r>
      <w:r w:rsidR="000B42F7">
        <w:t>, indicating this model would be sufficient for 90% confidence in predictions</w:t>
      </w:r>
      <w:r w:rsidR="00AD3BCA">
        <w:t xml:space="preserve">. The </w:t>
      </w:r>
      <w:r w:rsidR="00AD3BCA">
        <w:t xml:space="preserve">The model predicts that for every 1 unit increase for Primary Passing TDs and Primary Rushing TDs, the </w:t>
      </w:r>
      <w:r w:rsidR="005C4C22">
        <w:t>AAV</w:t>
      </w:r>
      <w:r w:rsidR="00AD3BCA">
        <w:t xml:space="preserve"> should increase by </w:t>
      </w:r>
      <w:r w:rsidR="00AD3BCA">
        <w:t>$</w:t>
      </w:r>
      <w:r w:rsidR="00AD3BCA">
        <w:t>9.74</w:t>
      </w:r>
      <w:r w:rsidR="00AD3BCA">
        <w:t xml:space="preserve">M and $28.59M. For a 0.01 increase in Turnovers per Attempt, the </w:t>
      </w:r>
      <w:r w:rsidR="005C4C22">
        <w:t>AAV</w:t>
      </w:r>
      <w:r w:rsidR="00AD3BCA">
        <w:t xml:space="preserve"> should decrease by $5.421M. Finally, for each day it takes from a QB’s first start as a primary passer until their 26</w:t>
      </w:r>
      <w:r w:rsidR="00AD3BCA" w:rsidRPr="00AD3BCA">
        <w:rPr>
          <w:vertAlign w:val="superscript"/>
        </w:rPr>
        <w:t>th</w:t>
      </w:r>
      <w:r w:rsidR="00AD3BCA">
        <w:t xml:space="preserve"> game, the </w:t>
      </w:r>
      <w:r w:rsidR="005C4C22">
        <w:t>AAV</w:t>
      </w:r>
      <w:r w:rsidR="00AD3BCA">
        <w:t xml:space="preserve"> decreases by $10K.</w:t>
      </w:r>
    </w:p>
    <w:p w14:paraId="476265AF" w14:textId="77777777" w:rsidR="000B42F7" w:rsidRDefault="000B42F7" w:rsidP="00E02EAD">
      <w:pPr>
        <w:ind w:left="0" w:right="0"/>
      </w:pPr>
    </w:p>
    <w:p w14:paraId="7BE909BB" w14:textId="0927EDB1" w:rsidR="00E02EAD" w:rsidRDefault="00E02EAD" w:rsidP="00E02EAD">
      <w:pPr>
        <w:pStyle w:val="Caption"/>
      </w:pPr>
      <w:bookmarkStart w:id="5" w:name="_Ref117855313"/>
      <w:r>
        <w:t xml:space="preserve">Table </w:t>
      </w:r>
      <w:r>
        <w:fldChar w:fldCharType="begin"/>
      </w:r>
      <w:r>
        <w:instrText xml:space="preserve"> SEQ Table \* ARABIC </w:instrText>
      </w:r>
      <w:r>
        <w:fldChar w:fldCharType="separate"/>
      </w:r>
      <w:r>
        <w:rPr>
          <w:noProof/>
        </w:rPr>
        <w:t>8</w:t>
      </w:r>
      <w:r>
        <w:fldChar w:fldCharType="end"/>
      </w:r>
      <w:bookmarkEnd w:id="5"/>
      <w:r>
        <w:t xml:space="preserve">. Estimated Coefficients for Model Predicting </w:t>
      </w:r>
      <w:r w:rsidR="005C4C22">
        <w:t>AAV</w:t>
      </w:r>
    </w:p>
    <w:tbl>
      <w:tblPr>
        <w:tblStyle w:val="TableGrid"/>
        <w:tblW w:w="0" w:type="auto"/>
        <w:tblInd w:w="720" w:type="dxa"/>
        <w:tblLook w:val="04A0" w:firstRow="1" w:lastRow="0" w:firstColumn="1" w:lastColumn="0" w:noHBand="0" w:noVBand="1"/>
      </w:tblPr>
      <w:tblGrid>
        <w:gridCol w:w="3122"/>
        <w:gridCol w:w="3139"/>
        <w:gridCol w:w="3089"/>
      </w:tblGrid>
      <w:tr w:rsidR="00FA114A" w14:paraId="74F26676" w14:textId="77777777" w:rsidTr="00FA114A">
        <w:tc>
          <w:tcPr>
            <w:tcW w:w="3122" w:type="dxa"/>
          </w:tcPr>
          <w:p w14:paraId="56428E0C" w14:textId="5FB50561" w:rsidR="00FA114A" w:rsidRPr="00FA114A" w:rsidRDefault="00FA114A" w:rsidP="000B42F7">
            <w:pPr>
              <w:ind w:left="0" w:right="0"/>
              <w:rPr>
                <w:rFonts w:cs="Arial"/>
                <w:b/>
                <w:bCs/>
              </w:rPr>
            </w:pPr>
            <w:r w:rsidRPr="00FA114A">
              <w:rPr>
                <w:rFonts w:cs="Arial"/>
                <w:b/>
                <w:bCs/>
              </w:rPr>
              <w:t>Predictor</w:t>
            </w:r>
          </w:p>
        </w:tc>
        <w:tc>
          <w:tcPr>
            <w:tcW w:w="3139" w:type="dxa"/>
          </w:tcPr>
          <w:p w14:paraId="52503BD3" w14:textId="5396809E" w:rsidR="00FA114A" w:rsidRPr="00FA114A" w:rsidRDefault="00FA114A" w:rsidP="000B42F7">
            <w:pPr>
              <w:ind w:left="0" w:right="0"/>
              <w:rPr>
                <w:rFonts w:cs="Arial"/>
                <w:b/>
                <w:bCs/>
              </w:rPr>
            </w:pPr>
            <w:r w:rsidRPr="00FA114A">
              <w:rPr>
                <w:rFonts w:cs="Arial"/>
                <w:b/>
                <w:bCs/>
              </w:rPr>
              <w:t>Estimated Coefficient</w:t>
            </w:r>
          </w:p>
        </w:tc>
        <w:tc>
          <w:tcPr>
            <w:tcW w:w="3089" w:type="dxa"/>
          </w:tcPr>
          <w:p w14:paraId="6B13E2D8" w14:textId="2D072344" w:rsidR="00FA114A" w:rsidRPr="00FA114A" w:rsidRDefault="00FA114A" w:rsidP="000B42F7">
            <w:pPr>
              <w:ind w:left="0" w:right="0"/>
              <w:rPr>
                <w:rFonts w:cs="Arial"/>
                <w:b/>
                <w:bCs/>
              </w:rPr>
            </w:pPr>
            <w:r w:rsidRPr="00FA114A">
              <w:rPr>
                <w:rFonts w:cs="Arial"/>
                <w:b/>
                <w:bCs/>
              </w:rPr>
              <w:t>P-Value</w:t>
            </w:r>
          </w:p>
        </w:tc>
      </w:tr>
      <w:tr w:rsidR="00FA114A" w:rsidRPr="00FA114A" w14:paraId="5EAB1BEC" w14:textId="77777777" w:rsidTr="00FA114A">
        <w:trPr>
          <w:trHeight w:val="300"/>
        </w:trPr>
        <w:tc>
          <w:tcPr>
            <w:tcW w:w="3122" w:type="dxa"/>
            <w:noWrap/>
            <w:hideMark/>
          </w:tcPr>
          <w:p w14:paraId="249227CA" w14:textId="77777777" w:rsidR="00FA114A" w:rsidRPr="00FA114A" w:rsidRDefault="00FA114A" w:rsidP="000B42F7">
            <w:pPr>
              <w:ind w:left="0" w:right="0"/>
              <w:jc w:val="left"/>
              <w:rPr>
                <w:rFonts w:cs="Arial"/>
                <w:color w:val="000000"/>
              </w:rPr>
            </w:pPr>
            <w:r w:rsidRPr="00FA114A">
              <w:rPr>
                <w:rFonts w:cs="Arial"/>
                <w:color w:val="000000"/>
              </w:rPr>
              <w:t>(Intercept)</w:t>
            </w:r>
          </w:p>
        </w:tc>
        <w:tc>
          <w:tcPr>
            <w:tcW w:w="3139" w:type="dxa"/>
            <w:noWrap/>
            <w:hideMark/>
          </w:tcPr>
          <w:p w14:paraId="160D2C8E" w14:textId="77777777" w:rsidR="00FA114A" w:rsidRPr="00FA114A" w:rsidRDefault="00FA114A" w:rsidP="000B42F7">
            <w:pPr>
              <w:ind w:left="0" w:right="0"/>
              <w:jc w:val="right"/>
              <w:rPr>
                <w:rFonts w:cs="Arial"/>
                <w:color w:val="000000"/>
              </w:rPr>
            </w:pPr>
            <w:r w:rsidRPr="00FA114A">
              <w:rPr>
                <w:rFonts w:cs="Arial"/>
                <w:color w:val="000000"/>
              </w:rPr>
              <w:t>25.36</w:t>
            </w:r>
          </w:p>
        </w:tc>
        <w:tc>
          <w:tcPr>
            <w:tcW w:w="3089" w:type="dxa"/>
            <w:noWrap/>
            <w:hideMark/>
          </w:tcPr>
          <w:p w14:paraId="1272F198" w14:textId="77777777" w:rsidR="00FA114A" w:rsidRPr="00FA114A" w:rsidRDefault="00FA114A" w:rsidP="000B42F7">
            <w:pPr>
              <w:ind w:left="0" w:right="0"/>
              <w:jc w:val="right"/>
              <w:rPr>
                <w:rFonts w:cs="Arial"/>
                <w:color w:val="000000"/>
              </w:rPr>
            </w:pPr>
            <w:r w:rsidRPr="00FA114A">
              <w:rPr>
                <w:rFonts w:cs="Arial"/>
                <w:color w:val="000000"/>
              </w:rPr>
              <w:t>0.0965</w:t>
            </w:r>
          </w:p>
        </w:tc>
      </w:tr>
      <w:tr w:rsidR="00FA114A" w:rsidRPr="00FA114A" w14:paraId="36F15ACC" w14:textId="77777777" w:rsidTr="00FA114A">
        <w:trPr>
          <w:trHeight w:val="300"/>
        </w:trPr>
        <w:tc>
          <w:tcPr>
            <w:tcW w:w="3122" w:type="dxa"/>
            <w:noWrap/>
            <w:hideMark/>
          </w:tcPr>
          <w:p w14:paraId="655B266A" w14:textId="7296D1A9" w:rsidR="00FA114A" w:rsidRPr="00FA114A" w:rsidRDefault="00FA114A" w:rsidP="000B42F7">
            <w:pPr>
              <w:ind w:left="0" w:right="0"/>
              <w:jc w:val="left"/>
              <w:rPr>
                <w:rFonts w:cs="Arial"/>
                <w:color w:val="000000"/>
              </w:rPr>
            </w:pPr>
            <w:r w:rsidRPr="00FA114A">
              <w:rPr>
                <w:rFonts w:cs="Arial"/>
                <w:color w:val="000000"/>
              </w:rPr>
              <w:t>Primary Passing T</w:t>
            </w:r>
            <w:r w:rsidR="00AD3BCA">
              <w:rPr>
                <w:rFonts w:cs="Arial"/>
                <w:color w:val="000000"/>
              </w:rPr>
              <w:t>D</w:t>
            </w:r>
            <w:r w:rsidRPr="00FA114A">
              <w:rPr>
                <w:rFonts w:cs="Arial"/>
                <w:color w:val="000000"/>
              </w:rPr>
              <w:t xml:space="preserve">s </w:t>
            </w:r>
            <w:r>
              <w:rPr>
                <w:rFonts w:cs="Arial"/>
                <w:color w:val="000000"/>
              </w:rPr>
              <w:t>p</w:t>
            </w:r>
            <w:r w:rsidRPr="00FA114A">
              <w:rPr>
                <w:rFonts w:cs="Arial"/>
                <w:color w:val="000000"/>
              </w:rPr>
              <w:t>er Game</w:t>
            </w:r>
          </w:p>
        </w:tc>
        <w:tc>
          <w:tcPr>
            <w:tcW w:w="3139" w:type="dxa"/>
            <w:noWrap/>
            <w:hideMark/>
          </w:tcPr>
          <w:p w14:paraId="74DDB01C" w14:textId="77777777" w:rsidR="00FA114A" w:rsidRPr="00FA114A" w:rsidRDefault="00FA114A" w:rsidP="000B42F7">
            <w:pPr>
              <w:ind w:left="0" w:right="0"/>
              <w:jc w:val="right"/>
              <w:rPr>
                <w:rFonts w:cs="Arial"/>
                <w:color w:val="000000"/>
              </w:rPr>
            </w:pPr>
            <w:r w:rsidRPr="00FA114A">
              <w:rPr>
                <w:rFonts w:cs="Arial"/>
                <w:color w:val="000000"/>
              </w:rPr>
              <w:t>9.74</w:t>
            </w:r>
          </w:p>
        </w:tc>
        <w:tc>
          <w:tcPr>
            <w:tcW w:w="3089" w:type="dxa"/>
            <w:noWrap/>
            <w:hideMark/>
          </w:tcPr>
          <w:p w14:paraId="77BA08D2" w14:textId="77777777" w:rsidR="00FA114A" w:rsidRPr="00FA114A" w:rsidRDefault="00FA114A" w:rsidP="000B42F7">
            <w:pPr>
              <w:ind w:left="0" w:right="0"/>
              <w:jc w:val="right"/>
              <w:rPr>
                <w:rFonts w:cs="Arial"/>
                <w:color w:val="000000"/>
              </w:rPr>
            </w:pPr>
            <w:r w:rsidRPr="00FA114A">
              <w:rPr>
                <w:rFonts w:cs="Arial"/>
                <w:color w:val="000000"/>
              </w:rPr>
              <w:t>0.0619</w:t>
            </w:r>
          </w:p>
        </w:tc>
      </w:tr>
      <w:tr w:rsidR="00FA114A" w:rsidRPr="00FA114A" w14:paraId="438327B9" w14:textId="77777777" w:rsidTr="00FA114A">
        <w:trPr>
          <w:trHeight w:val="300"/>
        </w:trPr>
        <w:tc>
          <w:tcPr>
            <w:tcW w:w="3122" w:type="dxa"/>
            <w:noWrap/>
            <w:hideMark/>
          </w:tcPr>
          <w:p w14:paraId="64351D59" w14:textId="66755235" w:rsidR="00FA114A" w:rsidRPr="00FA114A" w:rsidRDefault="00FA114A" w:rsidP="000B42F7">
            <w:pPr>
              <w:ind w:left="0" w:right="0"/>
              <w:jc w:val="left"/>
              <w:rPr>
                <w:rFonts w:cs="Arial"/>
                <w:color w:val="000000"/>
              </w:rPr>
            </w:pPr>
            <w:r w:rsidRPr="00FA114A">
              <w:rPr>
                <w:rFonts w:cs="Arial"/>
                <w:color w:val="000000"/>
              </w:rPr>
              <w:t>Primary Rushing T</w:t>
            </w:r>
            <w:r w:rsidR="00AD3BCA">
              <w:rPr>
                <w:rFonts w:cs="Arial"/>
                <w:color w:val="000000"/>
              </w:rPr>
              <w:t>D</w:t>
            </w:r>
            <w:r w:rsidRPr="00FA114A">
              <w:rPr>
                <w:rFonts w:cs="Arial"/>
                <w:color w:val="000000"/>
              </w:rPr>
              <w:t xml:space="preserve">s </w:t>
            </w:r>
            <w:r>
              <w:rPr>
                <w:rFonts w:cs="Arial"/>
                <w:color w:val="000000"/>
              </w:rPr>
              <w:t>p</w:t>
            </w:r>
            <w:r w:rsidRPr="00FA114A">
              <w:rPr>
                <w:rFonts w:cs="Arial"/>
                <w:color w:val="000000"/>
              </w:rPr>
              <w:t>er Game</w:t>
            </w:r>
          </w:p>
        </w:tc>
        <w:tc>
          <w:tcPr>
            <w:tcW w:w="3139" w:type="dxa"/>
            <w:noWrap/>
            <w:hideMark/>
          </w:tcPr>
          <w:p w14:paraId="64B3C5FB" w14:textId="77777777" w:rsidR="00FA114A" w:rsidRPr="00FA114A" w:rsidRDefault="00FA114A" w:rsidP="000B42F7">
            <w:pPr>
              <w:ind w:left="0" w:right="0"/>
              <w:jc w:val="right"/>
              <w:rPr>
                <w:rFonts w:cs="Arial"/>
                <w:color w:val="000000"/>
              </w:rPr>
            </w:pPr>
            <w:r w:rsidRPr="00FA114A">
              <w:rPr>
                <w:rFonts w:cs="Arial"/>
                <w:color w:val="000000"/>
              </w:rPr>
              <w:t>28.59</w:t>
            </w:r>
          </w:p>
        </w:tc>
        <w:tc>
          <w:tcPr>
            <w:tcW w:w="3089" w:type="dxa"/>
            <w:noWrap/>
            <w:hideMark/>
          </w:tcPr>
          <w:p w14:paraId="5FBF288A" w14:textId="77777777" w:rsidR="00FA114A" w:rsidRPr="00FA114A" w:rsidRDefault="00FA114A" w:rsidP="000B42F7">
            <w:pPr>
              <w:ind w:left="0" w:right="0"/>
              <w:jc w:val="right"/>
              <w:rPr>
                <w:rFonts w:cs="Arial"/>
                <w:color w:val="000000"/>
              </w:rPr>
            </w:pPr>
            <w:r w:rsidRPr="00FA114A">
              <w:rPr>
                <w:rFonts w:cs="Arial"/>
                <w:color w:val="000000"/>
              </w:rPr>
              <w:t>0.00674</w:t>
            </w:r>
          </w:p>
        </w:tc>
      </w:tr>
      <w:tr w:rsidR="00FA114A" w:rsidRPr="00FA114A" w14:paraId="028C3809" w14:textId="77777777" w:rsidTr="00FA114A">
        <w:trPr>
          <w:trHeight w:val="300"/>
        </w:trPr>
        <w:tc>
          <w:tcPr>
            <w:tcW w:w="3122" w:type="dxa"/>
            <w:noWrap/>
            <w:hideMark/>
          </w:tcPr>
          <w:p w14:paraId="1997CC23" w14:textId="2206D4FB" w:rsidR="00FA114A" w:rsidRPr="00FA114A" w:rsidRDefault="00FA114A" w:rsidP="000B42F7">
            <w:pPr>
              <w:ind w:left="0" w:right="0"/>
              <w:jc w:val="left"/>
              <w:rPr>
                <w:rFonts w:cs="Arial"/>
                <w:color w:val="000000"/>
              </w:rPr>
            </w:pPr>
            <w:r w:rsidRPr="00FA114A">
              <w:rPr>
                <w:rFonts w:cs="Arial"/>
                <w:color w:val="000000"/>
              </w:rPr>
              <w:t xml:space="preserve">Turnovers </w:t>
            </w:r>
            <w:r>
              <w:rPr>
                <w:rFonts w:cs="Arial"/>
                <w:color w:val="000000"/>
              </w:rPr>
              <w:t>p</w:t>
            </w:r>
            <w:r w:rsidRPr="00FA114A">
              <w:rPr>
                <w:rFonts w:cs="Arial"/>
                <w:color w:val="000000"/>
              </w:rPr>
              <w:t>er Attempt</w:t>
            </w:r>
          </w:p>
        </w:tc>
        <w:tc>
          <w:tcPr>
            <w:tcW w:w="3139" w:type="dxa"/>
            <w:noWrap/>
            <w:hideMark/>
          </w:tcPr>
          <w:p w14:paraId="6F7F0BB7" w14:textId="77777777" w:rsidR="00FA114A" w:rsidRPr="00FA114A" w:rsidRDefault="00FA114A" w:rsidP="000B42F7">
            <w:pPr>
              <w:ind w:left="0" w:right="0"/>
              <w:jc w:val="right"/>
              <w:rPr>
                <w:rFonts w:cs="Arial"/>
                <w:color w:val="000000"/>
              </w:rPr>
            </w:pPr>
            <w:r w:rsidRPr="00FA114A">
              <w:rPr>
                <w:rFonts w:cs="Arial"/>
                <w:color w:val="000000"/>
              </w:rPr>
              <w:t>-542.10</w:t>
            </w:r>
          </w:p>
        </w:tc>
        <w:tc>
          <w:tcPr>
            <w:tcW w:w="3089" w:type="dxa"/>
            <w:noWrap/>
            <w:hideMark/>
          </w:tcPr>
          <w:p w14:paraId="77F163BD" w14:textId="77777777" w:rsidR="00FA114A" w:rsidRPr="00FA114A" w:rsidRDefault="00FA114A" w:rsidP="000B42F7">
            <w:pPr>
              <w:ind w:left="0" w:right="0"/>
              <w:jc w:val="right"/>
              <w:rPr>
                <w:rFonts w:cs="Arial"/>
                <w:color w:val="000000"/>
              </w:rPr>
            </w:pPr>
            <w:r w:rsidRPr="00FA114A">
              <w:rPr>
                <w:rFonts w:cs="Arial"/>
                <w:color w:val="000000"/>
              </w:rPr>
              <w:t>0.06886</w:t>
            </w:r>
          </w:p>
        </w:tc>
      </w:tr>
      <w:tr w:rsidR="00FA114A" w:rsidRPr="00FA114A" w14:paraId="65EB15CD" w14:textId="77777777" w:rsidTr="00FA114A">
        <w:trPr>
          <w:trHeight w:val="300"/>
        </w:trPr>
        <w:tc>
          <w:tcPr>
            <w:tcW w:w="3122" w:type="dxa"/>
            <w:noWrap/>
            <w:hideMark/>
          </w:tcPr>
          <w:p w14:paraId="584E53CF" w14:textId="77777777" w:rsidR="00FA114A" w:rsidRPr="00FA114A" w:rsidRDefault="00FA114A" w:rsidP="000B42F7">
            <w:pPr>
              <w:ind w:left="0" w:right="0"/>
              <w:jc w:val="left"/>
              <w:rPr>
                <w:rFonts w:cs="Arial"/>
                <w:color w:val="000000"/>
              </w:rPr>
            </w:pPr>
            <w:r w:rsidRPr="00FA114A">
              <w:rPr>
                <w:rFonts w:cs="Arial"/>
                <w:color w:val="000000"/>
              </w:rPr>
              <w:t>Days To Hurts Game</w:t>
            </w:r>
          </w:p>
        </w:tc>
        <w:tc>
          <w:tcPr>
            <w:tcW w:w="3139" w:type="dxa"/>
            <w:noWrap/>
            <w:hideMark/>
          </w:tcPr>
          <w:p w14:paraId="4FF2224A" w14:textId="77777777" w:rsidR="00FA114A" w:rsidRPr="00FA114A" w:rsidRDefault="00FA114A" w:rsidP="000B42F7">
            <w:pPr>
              <w:ind w:left="0" w:right="0"/>
              <w:jc w:val="right"/>
              <w:rPr>
                <w:rFonts w:cs="Arial"/>
                <w:color w:val="000000"/>
              </w:rPr>
            </w:pPr>
            <w:r w:rsidRPr="00FA114A">
              <w:rPr>
                <w:rFonts w:cs="Arial"/>
                <w:color w:val="000000"/>
              </w:rPr>
              <w:t>-0.01</w:t>
            </w:r>
          </w:p>
        </w:tc>
        <w:tc>
          <w:tcPr>
            <w:tcW w:w="3089" w:type="dxa"/>
            <w:noWrap/>
            <w:hideMark/>
          </w:tcPr>
          <w:p w14:paraId="171A458E" w14:textId="77777777" w:rsidR="00FA114A" w:rsidRPr="00FA114A" w:rsidRDefault="00FA114A" w:rsidP="000B42F7">
            <w:pPr>
              <w:ind w:left="0" w:right="0"/>
              <w:jc w:val="right"/>
              <w:rPr>
                <w:rFonts w:cs="Arial"/>
                <w:color w:val="000000"/>
              </w:rPr>
            </w:pPr>
            <w:r w:rsidRPr="00FA114A">
              <w:rPr>
                <w:rFonts w:cs="Arial"/>
                <w:color w:val="000000"/>
              </w:rPr>
              <w:t>0.02387</w:t>
            </w:r>
          </w:p>
        </w:tc>
      </w:tr>
    </w:tbl>
    <w:p w14:paraId="1CEB6B48" w14:textId="77777777" w:rsidR="00FA114A" w:rsidRDefault="00FA114A" w:rsidP="000B42F7">
      <w:pPr>
        <w:ind w:right="0"/>
      </w:pPr>
    </w:p>
    <w:p w14:paraId="29516B55" w14:textId="77777777" w:rsidR="00AD3BCA" w:rsidRDefault="00AD3BCA" w:rsidP="000B42F7">
      <w:pPr>
        <w:ind w:right="0"/>
      </w:pPr>
    </w:p>
    <w:p w14:paraId="3E319B73" w14:textId="33151FB1" w:rsidR="000B42F7" w:rsidRDefault="00FA114A" w:rsidP="000B42F7">
      <w:pPr>
        <w:ind w:right="0"/>
      </w:pPr>
      <w:r>
        <w:t xml:space="preserve">To ensure this is a valid model with reliable predictions, </w:t>
      </w:r>
      <w:r w:rsidR="000B42F7">
        <w:t>the consultant evaluated the four assumptions for Linear Regression.</w:t>
      </w:r>
    </w:p>
    <w:p w14:paraId="6B4E3AFE" w14:textId="77777777" w:rsidR="000B42F7" w:rsidRDefault="000B42F7" w:rsidP="000B42F7">
      <w:pPr>
        <w:ind w:right="0"/>
      </w:pPr>
    </w:p>
    <w:p w14:paraId="6737CB6C" w14:textId="28349888" w:rsidR="000B42F7" w:rsidRDefault="000B42F7" w:rsidP="000B42F7">
      <w:pPr>
        <w:pStyle w:val="ListParagraph"/>
      </w:pPr>
      <w:r w:rsidRPr="000B42F7">
        <w:rPr>
          <w:b/>
          <w:bCs/>
        </w:rPr>
        <w:t>Linearity</w:t>
      </w:r>
      <w:r>
        <w:t>:</w:t>
      </w:r>
      <w:r>
        <w:rPr>
          <w:b/>
          <w:bCs/>
        </w:rPr>
        <w:t xml:space="preserve"> </w:t>
      </w:r>
      <w:r>
        <w:t xml:space="preserve">The Residuals vs. Fitted plot in </w:t>
      </w:r>
      <w:r w:rsidRPr="007414DB">
        <w:rPr>
          <w:i/>
          <w:iCs/>
        </w:rPr>
        <w:fldChar w:fldCharType="begin"/>
      </w:r>
      <w:r w:rsidRPr="007414DB">
        <w:rPr>
          <w:i/>
          <w:iCs/>
        </w:rPr>
        <w:instrText xml:space="preserve"> REF _Ref117847729 \h </w:instrText>
      </w:r>
      <w:r w:rsidRPr="007414DB">
        <w:rPr>
          <w:i/>
          <w:iCs/>
        </w:rPr>
      </w:r>
      <w:r w:rsidR="007414DB">
        <w:rPr>
          <w:i/>
          <w:iCs/>
        </w:rPr>
        <w:instrText xml:space="preserve"> \* MERGEFORMAT </w:instrText>
      </w:r>
      <w:r w:rsidRPr="007414DB">
        <w:rPr>
          <w:i/>
          <w:iCs/>
        </w:rPr>
        <w:fldChar w:fldCharType="separate"/>
      </w:r>
      <w:r w:rsidRPr="007414DB">
        <w:rPr>
          <w:i/>
          <w:iCs/>
        </w:rPr>
        <w:t xml:space="preserve">Figure </w:t>
      </w:r>
      <w:r w:rsidRPr="007414DB">
        <w:rPr>
          <w:i/>
          <w:iCs/>
          <w:noProof/>
        </w:rPr>
        <w:t>2</w:t>
      </w:r>
      <w:r w:rsidRPr="007414DB">
        <w:rPr>
          <w:i/>
          <w:iCs/>
        </w:rPr>
        <w:fldChar w:fldCharType="end"/>
      </w:r>
      <w:r>
        <w:t xml:space="preserve"> shows no pattern, suggesting we can assume linear relationship.</w:t>
      </w:r>
    </w:p>
    <w:p w14:paraId="6283E358" w14:textId="586E4EA8" w:rsidR="000B42F7" w:rsidRDefault="000B42F7" w:rsidP="000B42F7">
      <w:pPr>
        <w:pStyle w:val="ListParagraph"/>
      </w:pPr>
      <w:r>
        <w:rPr>
          <w:b/>
          <w:bCs/>
        </w:rPr>
        <w:t>Independence of Errors</w:t>
      </w:r>
      <w:r>
        <w:t>: The data arguably violates this assumption because one QB can impact the performance of another QB within a given game. For instance, a rookie QB can begin their career as a backup to a Veteran who takes primary passing game opportunities away from the rookie.</w:t>
      </w:r>
    </w:p>
    <w:p w14:paraId="1ACC6950" w14:textId="5249B9A1" w:rsidR="007414DB" w:rsidRDefault="007414DB" w:rsidP="000B42F7">
      <w:pPr>
        <w:pStyle w:val="ListParagraph"/>
      </w:pPr>
      <w:r>
        <w:rPr>
          <w:b/>
          <w:bCs/>
        </w:rPr>
        <w:t>Normality of Errors</w:t>
      </w:r>
      <w:r>
        <w:t xml:space="preserve">: The Normal Q-Q plot in </w:t>
      </w:r>
      <w:r w:rsidRPr="007414DB">
        <w:rPr>
          <w:i/>
          <w:iCs/>
        </w:rPr>
        <w:fldChar w:fldCharType="begin"/>
      </w:r>
      <w:r w:rsidRPr="007414DB">
        <w:rPr>
          <w:i/>
          <w:iCs/>
        </w:rPr>
        <w:instrText xml:space="preserve"> REF _Ref117847729 \h </w:instrText>
      </w:r>
      <w:r w:rsidRPr="007414DB">
        <w:rPr>
          <w:i/>
          <w:iCs/>
        </w:rPr>
      </w:r>
      <w:r>
        <w:rPr>
          <w:i/>
          <w:iCs/>
        </w:rPr>
        <w:instrText xml:space="preserve"> \* MERGEFORMAT </w:instrText>
      </w:r>
      <w:r w:rsidRPr="007414DB">
        <w:rPr>
          <w:i/>
          <w:iCs/>
        </w:rPr>
        <w:fldChar w:fldCharType="separate"/>
      </w:r>
      <w:r w:rsidRPr="007414DB">
        <w:rPr>
          <w:i/>
          <w:iCs/>
        </w:rPr>
        <w:t xml:space="preserve">Figure </w:t>
      </w:r>
      <w:r w:rsidRPr="007414DB">
        <w:rPr>
          <w:i/>
          <w:iCs/>
          <w:noProof/>
        </w:rPr>
        <w:t>2</w:t>
      </w:r>
      <w:r w:rsidRPr="007414DB">
        <w:rPr>
          <w:i/>
          <w:iCs/>
        </w:rPr>
        <w:fldChar w:fldCharType="end"/>
      </w:r>
      <w:r>
        <w:t xml:space="preserve"> shows the points fall approximately along the reference line. Therefore, we can assume the errors to be normally distributed.</w:t>
      </w:r>
    </w:p>
    <w:p w14:paraId="7163334C" w14:textId="3BDFCB29" w:rsidR="007414DB" w:rsidRPr="000B42F7" w:rsidRDefault="00DE62D2" w:rsidP="000B42F7">
      <w:pPr>
        <w:pStyle w:val="ListParagraph"/>
      </w:pPr>
      <w:r>
        <w:rPr>
          <w:b/>
          <w:bCs/>
        </w:rPr>
        <w:t>Equal Variances</w:t>
      </w:r>
      <w:r>
        <w:t xml:space="preserve">: The Scale-Location plot in </w:t>
      </w:r>
      <w:r>
        <w:fldChar w:fldCharType="begin"/>
      </w:r>
      <w:r>
        <w:instrText xml:space="preserve"> REF _Ref117847729 \h </w:instrText>
      </w:r>
      <w:r>
        <w:fldChar w:fldCharType="separate"/>
      </w:r>
      <w:r>
        <w:t xml:space="preserve">Figure </w:t>
      </w:r>
      <w:r>
        <w:rPr>
          <w:noProof/>
        </w:rPr>
        <w:t>2</w:t>
      </w:r>
      <w:r>
        <w:fldChar w:fldCharType="end"/>
      </w:r>
      <w:r>
        <w:t xml:space="preserve"> shows a mostly horizontal line with equally spread points, suggesting the variance is constant through the model.</w:t>
      </w:r>
    </w:p>
    <w:p w14:paraId="1F428C94" w14:textId="576D89B4" w:rsidR="000B42F7" w:rsidRDefault="000B42F7" w:rsidP="000B42F7">
      <w:pPr>
        <w:ind w:right="0"/>
      </w:pPr>
    </w:p>
    <w:p w14:paraId="139823BD" w14:textId="77777777" w:rsidR="000B42F7" w:rsidRDefault="000B42F7" w:rsidP="00022406">
      <w:pPr>
        <w:keepNext/>
        <w:ind w:right="0"/>
        <w:jc w:val="center"/>
      </w:pPr>
      <w:r>
        <w:rPr>
          <w:noProof/>
        </w:rPr>
        <w:lastRenderedPageBreak/>
        <w:drawing>
          <wp:inline distT="0" distB="0" distL="0" distR="0" wp14:anchorId="7D5A4CD3" wp14:editId="5FCB5C54">
            <wp:extent cx="5257800" cy="4334256"/>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57800" cy="4334256"/>
                    </a:xfrm>
                    <a:prstGeom prst="rect">
                      <a:avLst/>
                    </a:prstGeom>
                  </pic:spPr>
                </pic:pic>
              </a:graphicData>
            </a:graphic>
          </wp:inline>
        </w:drawing>
      </w:r>
    </w:p>
    <w:p w14:paraId="2048AFE9" w14:textId="7D2B80AC" w:rsidR="000B42F7" w:rsidRDefault="000B42F7" w:rsidP="000B42F7">
      <w:pPr>
        <w:pStyle w:val="Caption"/>
      </w:pPr>
      <w:bookmarkStart w:id="6" w:name="_Ref117847711"/>
      <w:bookmarkStart w:id="7" w:name="_Ref117847729"/>
      <w:r>
        <w:t xml:space="preserve">Figure </w:t>
      </w:r>
      <w:r>
        <w:fldChar w:fldCharType="begin"/>
      </w:r>
      <w:r>
        <w:instrText xml:space="preserve"> SEQ Figure \* ARABIC </w:instrText>
      </w:r>
      <w:r>
        <w:fldChar w:fldCharType="separate"/>
      </w:r>
      <w:r>
        <w:rPr>
          <w:noProof/>
        </w:rPr>
        <w:t>2</w:t>
      </w:r>
      <w:r>
        <w:fldChar w:fldCharType="end"/>
      </w:r>
      <w:bookmarkEnd w:id="7"/>
      <w:r>
        <w:t xml:space="preserve">. Linear </w:t>
      </w:r>
      <w:r w:rsidR="004C5B01">
        <w:t xml:space="preserve">Regression </w:t>
      </w:r>
      <w:r>
        <w:t>Assumption</w:t>
      </w:r>
      <w:r w:rsidR="005C4C22">
        <w:t xml:space="preserve"> testing</w:t>
      </w:r>
      <w:r>
        <w:t xml:space="preserve"> for A</w:t>
      </w:r>
      <w:r w:rsidR="005C4C22">
        <w:t>AV</w:t>
      </w:r>
      <w:r>
        <w:t xml:space="preserve"> Regression Model</w:t>
      </w:r>
      <w:bookmarkEnd w:id="6"/>
    </w:p>
    <w:p w14:paraId="68FEDE07" w14:textId="1498A57C" w:rsidR="00022406" w:rsidRDefault="00022406" w:rsidP="00022406"/>
    <w:p w14:paraId="3F1151F3" w14:textId="33B1F78F" w:rsidR="00022406" w:rsidRDefault="00022406" w:rsidP="00022406">
      <w:r>
        <w:t xml:space="preserve">After validating assumptions, this model will provide the estimated Annual Contract Value for Jalen Hurts in </w:t>
      </w:r>
      <w:r w:rsidRPr="00022406">
        <w:rPr>
          <w:b/>
          <w:bCs/>
        </w:rPr>
        <w:fldChar w:fldCharType="begin"/>
      </w:r>
      <w:r w:rsidRPr="00022406">
        <w:rPr>
          <w:b/>
          <w:bCs/>
        </w:rPr>
        <w:instrText xml:space="preserve"> REF _Ref117848141 \h </w:instrText>
      </w:r>
      <w:r w:rsidRPr="00022406">
        <w:rPr>
          <w:b/>
          <w:bCs/>
        </w:rPr>
      </w:r>
      <w:r>
        <w:rPr>
          <w:b/>
          <w:bCs/>
        </w:rPr>
        <w:instrText xml:space="preserve"> \* MERGEFORMAT </w:instrText>
      </w:r>
      <w:r w:rsidRPr="00022406">
        <w:rPr>
          <w:b/>
          <w:bCs/>
        </w:rPr>
        <w:fldChar w:fldCharType="separate"/>
      </w:r>
      <w:r w:rsidRPr="00022406">
        <w:rPr>
          <w:b/>
          <w:bCs/>
        </w:rPr>
        <w:t>4.0 – RECOMMENDATIONS</w:t>
      </w:r>
      <w:r w:rsidRPr="00022406">
        <w:rPr>
          <w:b/>
          <w:bCs/>
        </w:rPr>
        <w:fldChar w:fldCharType="end"/>
      </w:r>
      <w:r>
        <w:t>.</w:t>
      </w:r>
    </w:p>
    <w:p w14:paraId="4D7302F0" w14:textId="504490CC" w:rsidR="00022406" w:rsidRDefault="00022406" w:rsidP="00022406"/>
    <w:p w14:paraId="7173B341" w14:textId="36907AFF" w:rsidR="00022406" w:rsidRDefault="00022406" w:rsidP="00022406">
      <w:pPr>
        <w:pStyle w:val="Heading2Custom"/>
      </w:pPr>
      <w:r>
        <w:t>3.3 Predicting Number of Years for Contract</w:t>
      </w:r>
    </w:p>
    <w:p w14:paraId="1F208771" w14:textId="42778AB4" w:rsidR="00022406" w:rsidRDefault="00022406" w:rsidP="00022406"/>
    <w:p w14:paraId="7F10FB4C" w14:textId="42B0D8AC" w:rsidR="00570627" w:rsidRDefault="00570627" w:rsidP="00022406">
      <w:r>
        <w:t>The predictive model selection for the number of years</w:t>
      </w:r>
      <w:r w:rsidR="006448F4">
        <w:t xml:space="preserve"> in</w:t>
      </w:r>
      <w:r>
        <w:t xml:space="preserve"> a QB’s contract used the same dataset referenced</w:t>
      </w:r>
      <w:r w:rsidR="006448F4">
        <w:t xml:space="preserve"> and criteria for comparing variable selection methods</w:t>
      </w:r>
      <w:r>
        <w:t xml:space="preserve"> in Section 3.2, but</w:t>
      </w:r>
      <w:r w:rsidR="006448F4">
        <w:t xml:space="preserve"> instead used Contract Years as the response variable.</w:t>
      </w:r>
      <w:r w:rsidR="00546176">
        <w:t xml:space="preserve"> The model comparison available in </w:t>
      </w:r>
      <w:r w:rsidR="00E02EAD">
        <w:fldChar w:fldCharType="begin"/>
      </w:r>
      <w:r w:rsidR="00E02EAD">
        <w:instrText xml:space="preserve"> REF _Ref117849681 \h </w:instrText>
      </w:r>
      <w:r w:rsidR="00E02EAD">
        <w:fldChar w:fldCharType="separate"/>
      </w:r>
      <w:r w:rsidR="00E02EAD">
        <w:t>Appendix E: Model Comparison for Predicting Contract Years</w:t>
      </w:r>
      <w:r w:rsidR="00E02EAD">
        <w:fldChar w:fldCharType="end"/>
      </w:r>
      <w:r w:rsidR="00E02EAD">
        <w:t xml:space="preserve"> shows that the Best Subsets and Forward Stepwise variable selection methods with BIC information criteria tied for lowest MSE and strongest prediction accuracy. When observing their estimated coefficients and intercept, they result in the same model</w:t>
      </w:r>
      <w:r w:rsidR="00607EDD">
        <w:t xml:space="preserve">. </w:t>
      </w:r>
    </w:p>
    <w:p w14:paraId="588BE83C" w14:textId="0A5926E8" w:rsidR="00E02EAD" w:rsidRDefault="00E02EAD" w:rsidP="00022406"/>
    <w:p w14:paraId="15F37D4E" w14:textId="521FA9FF" w:rsidR="00E02EAD" w:rsidRDefault="00E02EAD" w:rsidP="00E02EAD">
      <w:pPr>
        <w:pStyle w:val="Caption"/>
      </w:pPr>
      <w:bookmarkStart w:id="8" w:name="_Ref117855631"/>
      <w:r>
        <w:t xml:space="preserve">Table </w:t>
      </w:r>
      <w:r>
        <w:fldChar w:fldCharType="begin"/>
      </w:r>
      <w:r>
        <w:instrText xml:space="preserve"> SEQ Table \* ARABIC </w:instrText>
      </w:r>
      <w:r>
        <w:fldChar w:fldCharType="separate"/>
      </w:r>
      <w:r>
        <w:rPr>
          <w:noProof/>
        </w:rPr>
        <w:t>9</w:t>
      </w:r>
      <w:r>
        <w:fldChar w:fldCharType="end"/>
      </w:r>
      <w:bookmarkEnd w:id="8"/>
      <w:r>
        <w:t>.</w:t>
      </w:r>
      <w:r w:rsidRPr="00C367A2">
        <w:t xml:space="preserve">Estimated Coefficients for Model Predicting </w:t>
      </w:r>
      <w:r>
        <w:t>Contract Years</w:t>
      </w:r>
    </w:p>
    <w:tbl>
      <w:tblPr>
        <w:tblStyle w:val="TableGrid"/>
        <w:tblW w:w="0" w:type="auto"/>
        <w:tblInd w:w="720" w:type="dxa"/>
        <w:tblLook w:val="04A0" w:firstRow="1" w:lastRow="0" w:firstColumn="1" w:lastColumn="0" w:noHBand="0" w:noVBand="1"/>
      </w:tblPr>
      <w:tblGrid>
        <w:gridCol w:w="3122"/>
        <w:gridCol w:w="3139"/>
        <w:gridCol w:w="3089"/>
      </w:tblGrid>
      <w:tr w:rsidR="00E02EAD" w14:paraId="22377310" w14:textId="77777777" w:rsidTr="00E02EAD">
        <w:tc>
          <w:tcPr>
            <w:tcW w:w="3122" w:type="dxa"/>
          </w:tcPr>
          <w:p w14:paraId="301F1599" w14:textId="77777777" w:rsidR="00E02EAD" w:rsidRPr="00FA114A" w:rsidRDefault="00E02EAD" w:rsidP="00A867B2">
            <w:pPr>
              <w:ind w:left="0" w:right="0"/>
              <w:jc w:val="center"/>
              <w:rPr>
                <w:rFonts w:cs="Arial"/>
                <w:b/>
                <w:bCs/>
              </w:rPr>
            </w:pPr>
            <w:r w:rsidRPr="00FA114A">
              <w:rPr>
                <w:rFonts w:cs="Arial"/>
                <w:b/>
                <w:bCs/>
              </w:rPr>
              <w:t>Predictor</w:t>
            </w:r>
          </w:p>
        </w:tc>
        <w:tc>
          <w:tcPr>
            <w:tcW w:w="3139" w:type="dxa"/>
          </w:tcPr>
          <w:p w14:paraId="338C6619" w14:textId="77777777" w:rsidR="00E02EAD" w:rsidRPr="00FA114A" w:rsidRDefault="00E02EAD" w:rsidP="00A867B2">
            <w:pPr>
              <w:ind w:left="0" w:right="0"/>
              <w:jc w:val="center"/>
              <w:rPr>
                <w:rFonts w:cs="Arial"/>
                <w:b/>
                <w:bCs/>
              </w:rPr>
            </w:pPr>
            <w:r w:rsidRPr="00FA114A">
              <w:rPr>
                <w:rFonts w:cs="Arial"/>
                <w:b/>
                <w:bCs/>
              </w:rPr>
              <w:t>Estimated Coefficient</w:t>
            </w:r>
          </w:p>
        </w:tc>
        <w:tc>
          <w:tcPr>
            <w:tcW w:w="3089" w:type="dxa"/>
          </w:tcPr>
          <w:p w14:paraId="2C35ACEB" w14:textId="77777777" w:rsidR="00E02EAD" w:rsidRPr="00FA114A" w:rsidRDefault="00E02EAD" w:rsidP="00A867B2">
            <w:pPr>
              <w:ind w:left="0" w:right="0"/>
              <w:jc w:val="center"/>
              <w:rPr>
                <w:rFonts w:cs="Arial"/>
                <w:b/>
                <w:bCs/>
              </w:rPr>
            </w:pPr>
            <w:r w:rsidRPr="00FA114A">
              <w:rPr>
                <w:rFonts w:cs="Arial"/>
                <w:b/>
                <w:bCs/>
              </w:rPr>
              <w:t>P-Value</w:t>
            </w:r>
          </w:p>
        </w:tc>
      </w:tr>
      <w:tr w:rsidR="00E02EAD" w:rsidRPr="00E02EAD" w14:paraId="752A45A9" w14:textId="77777777" w:rsidTr="00E02EAD">
        <w:trPr>
          <w:trHeight w:val="300"/>
        </w:trPr>
        <w:tc>
          <w:tcPr>
            <w:tcW w:w="3122" w:type="dxa"/>
            <w:noWrap/>
            <w:hideMark/>
          </w:tcPr>
          <w:p w14:paraId="2F420A8E" w14:textId="77777777" w:rsidR="00E02EAD" w:rsidRPr="00E02EAD" w:rsidRDefault="00E02EAD" w:rsidP="00E02EAD">
            <w:pPr>
              <w:ind w:left="0" w:right="0"/>
              <w:jc w:val="left"/>
              <w:rPr>
                <w:rFonts w:cs="Arial"/>
                <w:color w:val="000000"/>
              </w:rPr>
            </w:pPr>
            <w:r w:rsidRPr="00E02EAD">
              <w:rPr>
                <w:rFonts w:cs="Arial"/>
                <w:color w:val="000000"/>
              </w:rPr>
              <w:t>(Intercept)</w:t>
            </w:r>
          </w:p>
        </w:tc>
        <w:tc>
          <w:tcPr>
            <w:tcW w:w="3139" w:type="dxa"/>
            <w:noWrap/>
            <w:hideMark/>
          </w:tcPr>
          <w:p w14:paraId="139BAB4D" w14:textId="77777777" w:rsidR="00E02EAD" w:rsidRPr="00E02EAD" w:rsidRDefault="00E02EAD" w:rsidP="00E02EAD">
            <w:pPr>
              <w:ind w:left="0" w:right="0"/>
              <w:jc w:val="right"/>
              <w:rPr>
                <w:rFonts w:cs="Arial"/>
                <w:color w:val="000000"/>
              </w:rPr>
            </w:pPr>
            <w:r w:rsidRPr="00E02EAD">
              <w:rPr>
                <w:rFonts w:cs="Arial"/>
                <w:color w:val="000000"/>
              </w:rPr>
              <w:t>17.937</w:t>
            </w:r>
          </w:p>
        </w:tc>
        <w:tc>
          <w:tcPr>
            <w:tcW w:w="3089" w:type="dxa"/>
            <w:noWrap/>
            <w:hideMark/>
          </w:tcPr>
          <w:p w14:paraId="560767E9" w14:textId="77777777" w:rsidR="00E02EAD" w:rsidRPr="00E02EAD" w:rsidRDefault="00E02EAD" w:rsidP="00E02EAD">
            <w:pPr>
              <w:ind w:left="0" w:right="0"/>
              <w:jc w:val="right"/>
              <w:rPr>
                <w:rFonts w:cs="Arial"/>
                <w:color w:val="000000"/>
              </w:rPr>
            </w:pPr>
            <w:r w:rsidRPr="00E02EAD">
              <w:rPr>
                <w:rFonts w:cs="Arial"/>
                <w:color w:val="000000"/>
              </w:rPr>
              <w:t>0.014705</w:t>
            </w:r>
          </w:p>
        </w:tc>
      </w:tr>
      <w:tr w:rsidR="00E02EAD" w:rsidRPr="00E02EAD" w14:paraId="14E8AFCF" w14:textId="77777777" w:rsidTr="00E02EAD">
        <w:trPr>
          <w:trHeight w:val="300"/>
        </w:trPr>
        <w:tc>
          <w:tcPr>
            <w:tcW w:w="3122" w:type="dxa"/>
            <w:noWrap/>
            <w:hideMark/>
          </w:tcPr>
          <w:p w14:paraId="71BF5370" w14:textId="77777777" w:rsidR="00E02EAD" w:rsidRPr="00E02EAD" w:rsidRDefault="00E02EAD" w:rsidP="00E02EAD">
            <w:pPr>
              <w:ind w:left="0" w:right="0"/>
              <w:jc w:val="left"/>
              <w:rPr>
                <w:rFonts w:cs="Arial"/>
                <w:color w:val="000000"/>
              </w:rPr>
            </w:pPr>
            <w:r w:rsidRPr="00E02EAD">
              <w:rPr>
                <w:rFonts w:cs="Arial"/>
                <w:color w:val="000000"/>
              </w:rPr>
              <w:t>Passing Completion Percentage</w:t>
            </w:r>
          </w:p>
        </w:tc>
        <w:tc>
          <w:tcPr>
            <w:tcW w:w="3139" w:type="dxa"/>
            <w:noWrap/>
            <w:hideMark/>
          </w:tcPr>
          <w:p w14:paraId="53F0D105" w14:textId="77777777" w:rsidR="00E02EAD" w:rsidRPr="00E02EAD" w:rsidRDefault="00E02EAD" w:rsidP="00E02EAD">
            <w:pPr>
              <w:ind w:left="0" w:right="0"/>
              <w:jc w:val="right"/>
              <w:rPr>
                <w:rFonts w:cs="Arial"/>
                <w:color w:val="000000"/>
              </w:rPr>
            </w:pPr>
            <w:r w:rsidRPr="00E02EAD">
              <w:rPr>
                <w:rFonts w:cs="Arial"/>
                <w:color w:val="000000"/>
              </w:rPr>
              <w:t>-25.731</w:t>
            </w:r>
          </w:p>
        </w:tc>
        <w:tc>
          <w:tcPr>
            <w:tcW w:w="3089" w:type="dxa"/>
            <w:noWrap/>
            <w:hideMark/>
          </w:tcPr>
          <w:p w14:paraId="588F84DB" w14:textId="77777777" w:rsidR="00E02EAD" w:rsidRPr="00E02EAD" w:rsidRDefault="00E02EAD" w:rsidP="00E02EAD">
            <w:pPr>
              <w:ind w:left="0" w:right="0"/>
              <w:jc w:val="right"/>
              <w:rPr>
                <w:rFonts w:cs="Arial"/>
                <w:color w:val="000000"/>
              </w:rPr>
            </w:pPr>
            <w:r w:rsidRPr="00E02EAD">
              <w:rPr>
                <w:rFonts w:cs="Arial"/>
                <w:color w:val="000000"/>
              </w:rPr>
              <w:t>0.037544</w:t>
            </w:r>
          </w:p>
        </w:tc>
      </w:tr>
      <w:tr w:rsidR="00E02EAD" w:rsidRPr="00E02EAD" w14:paraId="25B8B8C9" w14:textId="77777777" w:rsidTr="00E02EAD">
        <w:trPr>
          <w:trHeight w:val="300"/>
        </w:trPr>
        <w:tc>
          <w:tcPr>
            <w:tcW w:w="3122" w:type="dxa"/>
            <w:noWrap/>
            <w:hideMark/>
          </w:tcPr>
          <w:p w14:paraId="3DAD6168" w14:textId="6FD13B9C" w:rsidR="00E02EAD" w:rsidRPr="00E02EAD" w:rsidRDefault="00E02EAD" w:rsidP="00E02EAD">
            <w:pPr>
              <w:ind w:left="0" w:right="0"/>
              <w:jc w:val="left"/>
              <w:rPr>
                <w:rFonts w:cs="Arial"/>
                <w:color w:val="000000"/>
              </w:rPr>
            </w:pPr>
            <w:r w:rsidRPr="00E02EAD">
              <w:rPr>
                <w:rFonts w:cs="Arial"/>
                <w:color w:val="000000"/>
              </w:rPr>
              <w:lastRenderedPageBreak/>
              <w:t>E</w:t>
            </w:r>
            <w:r w:rsidRPr="003C6132">
              <w:rPr>
                <w:rFonts w:cs="Arial"/>
                <w:color w:val="000000"/>
              </w:rPr>
              <w:t>PA</w:t>
            </w:r>
            <w:r w:rsidRPr="00E02EAD">
              <w:rPr>
                <w:rFonts w:cs="Arial"/>
                <w:color w:val="000000"/>
              </w:rPr>
              <w:t xml:space="preserve"> </w:t>
            </w:r>
            <w:r w:rsidR="00CF42A3">
              <w:rPr>
                <w:rFonts w:cs="Arial"/>
                <w:color w:val="000000"/>
              </w:rPr>
              <w:t>p</w:t>
            </w:r>
            <w:r w:rsidRPr="00E02EAD">
              <w:rPr>
                <w:rFonts w:cs="Arial"/>
                <w:color w:val="000000"/>
              </w:rPr>
              <w:t>er Play</w:t>
            </w:r>
          </w:p>
        </w:tc>
        <w:tc>
          <w:tcPr>
            <w:tcW w:w="3139" w:type="dxa"/>
            <w:noWrap/>
            <w:hideMark/>
          </w:tcPr>
          <w:p w14:paraId="3F7E9804" w14:textId="77777777" w:rsidR="00E02EAD" w:rsidRPr="00E02EAD" w:rsidRDefault="00E02EAD" w:rsidP="00E02EAD">
            <w:pPr>
              <w:ind w:left="0" w:right="0"/>
              <w:jc w:val="right"/>
              <w:rPr>
                <w:rFonts w:cs="Arial"/>
                <w:color w:val="000000"/>
              </w:rPr>
            </w:pPr>
            <w:r w:rsidRPr="00E02EAD">
              <w:rPr>
                <w:rFonts w:cs="Arial"/>
                <w:color w:val="000000"/>
              </w:rPr>
              <w:t>15.684</w:t>
            </w:r>
          </w:p>
        </w:tc>
        <w:tc>
          <w:tcPr>
            <w:tcW w:w="3089" w:type="dxa"/>
            <w:noWrap/>
            <w:hideMark/>
          </w:tcPr>
          <w:p w14:paraId="769AA4FF" w14:textId="77777777" w:rsidR="00E02EAD" w:rsidRPr="00E02EAD" w:rsidRDefault="00E02EAD" w:rsidP="00E02EAD">
            <w:pPr>
              <w:ind w:left="0" w:right="0"/>
              <w:jc w:val="right"/>
              <w:rPr>
                <w:rFonts w:cs="Arial"/>
                <w:color w:val="000000"/>
              </w:rPr>
            </w:pPr>
            <w:r w:rsidRPr="00E02EAD">
              <w:rPr>
                <w:rFonts w:cs="Arial"/>
                <w:color w:val="000000"/>
              </w:rPr>
              <w:t>0.000547</w:t>
            </w:r>
          </w:p>
        </w:tc>
      </w:tr>
    </w:tbl>
    <w:p w14:paraId="19365558" w14:textId="77777777" w:rsidR="00E02EAD" w:rsidRDefault="00E02EAD" w:rsidP="00022406"/>
    <w:p w14:paraId="47F80C83" w14:textId="11779979" w:rsidR="00607EDD" w:rsidRDefault="00247577" w:rsidP="00AC1B4A">
      <w:r>
        <w:t>The resulting p-values</w:t>
      </w:r>
      <w:r w:rsidR="00607EDD">
        <w:t xml:space="preserve"> shown in </w:t>
      </w:r>
      <w:r w:rsidR="00607EDD">
        <w:fldChar w:fldCharType="begin"/>
      </w:r>
      <w:r w:rsidR="00607EDD">
        <w:instrText xml:space="preserve"> REF _Ref117855631 \h </w:instrText>
      </w:r>
      <w:r w:rsidR="00607EDD">
        <w:fldChar w:fldCharType="separate"/>
      </w:r>
      <w:r w:rsidR="00607EDD">
        <w:t xml:space="preserve">Table </w:t>
      </w:r>
      <w:r w:rsidR="00607EDD">
        <w:rPr>
          <w:noProof/>
        </w:rPr>
        <w:t>9</w:t>
      </w:r>
      <w:r w:rsidR="00607EDD">
        <w:fldChar w:fldCharType="end"/>
      </w:r>
      <w:r>
        <w:t xml:space="preserve"> are quite strong at &lt;0.05, indicating this model would be sufficient for 95% confidence in predictions. However, one might treat this model with some skepticism </w:t>
      </w:r>
      <w:r w:rsidR="001F7509">
        <w:t>because of</w:t>
      </w:r>
      <w:r>
        <w:t xml:space="preserve"> the large negative coefficient assigned to Passing Completion Percentage. Intuition suggests that a higher Passing Completion Percentage positively reflects a QB’s performance and would earn them a longer contract and have a positive coefficient for predicting </w:t>
      </w:r>
      <w:r w:rsidR="001F7509">
        <w:t>the number</w:t>
      </w:r>
      <w:r>
        <w:t xml:space="preserve"> of years.</w:t>
      </w:r>
      <w:r w:rsidR="004C5B01">
        <w:t xml:space="preserve"> </w:t>
      </w:r>
      <w:r w:rsidR="00CF42A3">
        <w:t>However, EPA per Play is a highly significant predictor and a 0.01 increase would translate to an additional 15.6% of a year being added to the length of the contract.</w:t>
      </w:r>
    </w:p>
    <w:p w14:paraId="60675602" w14:textId="77777777" w:rsidR="00607EDD" w:rsidRDefault="00607EDD" w:rsidP="00AC1B4A"/>
    <w:p w14:paraId="68F3C307" w14:textId="77777777" w:rsidR="00CF42A3" w:rsidRDefault="004C5B01" w:rsidP="00AC1B4A">
      <w:r>
        <w:t xml:space="preserve">After evaluating the linear regression assumptions available in </w:t>
      </w:r>
      <w:r>
        <w:fldChar w:fldCharType="begin"/>
      </w:r>
      <w:r>
        <w:instrText xml:space="preserve"> REF _Ref117854419 \h </w:instrText>
      </w:r>
      <w:r>
        <w:instrText xml:space="preserve"> \* MERGEFORMAT </w:instrText>
      </w:r>
      <w:r>
        <w:fldChar w:fldCharType="separate"/>
      </w:r>
      <w:r>
        <w:t xml:space="preserve">Appendix F: Linear Model Assumptions for Predicting </w:t>
      </w:r>
      <w:r w:rsidRPr="004C5B01">
        <w:rPr>
          <w:b/>
          <w:bCs/>
        </w:rPr>
        <w:t>Contract Years</w:t>
      </w:r>
      <w:r>
        <w:fldChar w:fldCharType="end"/>
      </w:r>
      <w:r>
        <w:t>, there is some slight curvature in the Residuals vs. Fitted plot indicating there could be opportunity for a non-linear relationship. However, the remaining plots show no concerns with the assumptions beyond the independence of errors mentioned in Section 3.2.</w:t>
      </w:r>
      <w:r w:rsidR="00AD3BCA">
        <w:t xml:space="preserve"> </w:t>
      </w:r>
    </w:p>
    <w:p w14:paraId="5C8174EF" w14:textId="77777777" w:rsidR="00CF42A3" w:rsidRDefault="00CF42A3" w:rsidP="00AC1B4A"/>
    <w:p w14:paraId="776C6619" w14:textId="1D12AEFC" w:rsidR="009F60D5" w:rsidRDefault="00AD3BCA" w:rsidP="00AC1B4A">
      <w:r>
        <w:t>Th</w:t>
      </w:r>
      <w:r w:rsidR="00CF42A3">
        <w:t>e resulting prediction will need to round to the nearest whole number because contracts are only measured in integer years. The</w:t>
      </w:r>
      <w:r>
        <w:t xml:space="preserve"> model will provide the estimated Contract Years for Jalen Hurts in </w:t>
      </w:r>
      <w:r w:rsidRPr="00AD3BCA">
        <w:rPr>
          <w:b/>
          <w:bCs/>
        </w:rPr>
        <w:fldChar w:fldCharType="begin"/>
      </w:r>
      <w:r w:rsidRPr="00AD3BCA">
        <w:rPr>
          <w:b/>
          <w:bCs/>
        </w:rPr>
        <w:instrText xml:space="preserve"> REF _Ref117848141 \h </w:instrText>
      </w:r>
      <w:r w:rsidRPr="00AD3BCA">
        <w:rPr>
          <w:b/>
          <w:bCs/>
        </w:rPr>
      </w:r>
      <w:r>
        <w:rPr>
          <w:b/>
          <w:bCs/>
        </w:rPr>
        <w:instrText xml:space="preserve"> \* MERGEFORMAT </w:instrText>
      </w:r>
      <w:r w:rsidRPr="00AD3BCA">
        <w:rPr>
          <w:b/>
          <w:bCs/>
        </w:rPr>
        <w:fldChar w:fldCharType="separate"/>
      </w:r>
      <w:r w:rsidRPr="00AD3BCA">
        <w:rPr>
          <w:b/>
          <w:bCs/>
        </w:rPr>
        <w:t>4.0 – RECOMMENDATIONS</w:t>
      </w:r>
      <w:r w:rsidRPr="00AD3BCA">
        <w:rPr>
          <w:b/>
          <w:bCs/>
        </w:rPr>
        <w:fldChar w:fldCharType="end"/>
      </w:r>
      <w:r>
        <w:t>.</w:t>
      </w:r>
    </w:p>
    <w:p w14:paraId="1495C006" w14:textId="77777777" w:rsidR="00EB772F" w:rsidRPr="009F60D5" w:rsidRDefault="00EB772F" w:rsidP="000B42F7">
      <w:pPr>
        <w:ind w:right="0"/>
      </w:pPr>
    </w:p>
    <w:p w14:paraId="4FF4723B" w14:textId="77777777" w:rsidR="009F60D5" w:rsidRDefault="009F60D5" w:rsidP="000B42F7">
      <w:pPr>
        <w:ind w:right="0"/>
      </w:pPr>
    </w:p>
    <w:p w14:paraId="6FCF2948" w14:textId="77777777" w:rsidR="00156B45" w:rsidRDefault="00A6694B" w:rsidP="00022406">
      <w:pPr>
        <w:pStyle w:val="Heading1"/>
      </w:pPr>
      <w:bookmarkStart w:id="9" w:name="_Ref117848141"/>
      <w:r>
        <w:t xml:space="preserve">4.0 </w:t>
      </w:r>
      <w:r w:rsidR="009F60D5">
        <w:t>–</w:t>
      </w:r>
      <w:r>
        <w:t xml:space="preserve"> </w:t>
      </w:r>
      <w:r w:rsidR="00156B45" w:rsidRPr="00156B45">
        <w:t>RECOMMENDATIONS</w:t>
      </w:r>
      <w:bookmarkEnd w:id="9"/>
    </w:p>
    <w:p w14:paraId="796FA5EA" w14:textId="267D1804" w:rsidR="009F60D5" w:rsidRDefault="009F60D5" w:rsidP="000B42F7">
      <w:pPr>
        <w:ind w:right="0"/>
      </w:pPr>
    </w:p>
    <w:p w14:paraId="280F0D8C" w14:textId="0FD5D672" w:rsidR="005C4C22" w:rsidRDefault="005C4C22" w:rsidP="000B42F7">
      <w:pPr>
        <w:ind w:right="0"/>
      </w:pPr>
      <w:r>
        <w:t xml:space="preserve">Please find Jalen Hurts relevant statistics in </w:t>
      </w:r>
    </w:p>
    <w:p w14:paraId="3D76B32B" w14:textId="77777777" w:rsidR="005C4C22" w:rsidRPr="00156B45" w:rsidRDefault="005C4C22" w:rsidP="000B42F7">
      <w:pPr>
        <w:ind w:right="0"/>
      </w:pPr>
    </w:p>
    <w:p w14:paraId="7BEA9DC7" w14:textId="59732B8E" w:rsidR="009A2AFC" w:rsidRDefault="009A2AFC" w:rsidP="009A2AFC">
      <w:pPr>
        <w:ind w:right="0"/>
      </w:pPr>
      <w:r w:rsidRPr="00C76646">
        <w:rPr>
          <w:u w:val="single"/>
        </w:rPr>
        <w:t>Question 1</w:t>
      </w:r>
      <w:r w:rsidRPr="00156B45">
        <w:t>:</w:t>
      </w:r>
      <w:r>
        <w:t xml:space="preserve"> What is the probability that Jalen Hurts will become a Franchise QB?</w:t>
      </w:r>
    </w:p>
    <w:p w14:paraId="325AC1C6" w14:textId="5EC8A4F1" w:rsidR="009A2AFC" w:rsidRDefault="009A2AFC" w:rsidP="009A2AFC">
      <w:pPr>
        <w:ind w:right="0"/>
      </w:pPr>
    </w:p>
    <w:p w14:paraId="526C8D7D" w14:textId="09A8485F" w:rsidR="009A2AFC" w:rsidRDefault="009A2AFC" w:rsidP="009A2AFC">
      <w:pPr>
        <w:ind w:right="0"/>
      </w:pPr>
      <w:r>
        <w:t xml:space="preserve">According to the Logistic Regression output, the probability that Jalen Hurts will become a Franchise QB is </w:t>
      </w:r>
      <w:r w:rsidR="002D1569" w:rsidRPr="002D1569">
        <w:rPr>
          <w:b/>
          <w:bCs/>
        </w:rPr>
        <w:t>52.4%</w:t>
      </w:r>
      <w:r w:rsidR="002D1569">
        <w:t>. He is slightly more likely than not to become a Franchise QB.</w:t>
      </w:r>
    </w:p>
    <w:p w14:paraId="72B3E336" w14:textId="77777777" w:rsidR="009A2AFC" w:rsidRPr="00156B45" w:rsidRDefault="009A2AFC" w:rsidP="009A2AFC">
      <w:pPr>
        <w:ind w:left="0" w:right="0"/>
      </w:pPr>
    </w:p>
    <w:p w14:paraId="7A207BA2" w14:textId="738F5E7C" w:rsidR="009A2AFC" w:rsidRDefault="009A2AFC" w:rsidP="009A2AFC">
      <w:pPr>
        <w:ind w:right="0"/>
      </w:pPr>
      <w:r w:rsidRPr="00C76646">
        <w:rPr>
          <w:u w:val="single"/>
        </w:rPr>
        <w:t>Question 2</w:t>
      </w:r>
      <w:r w:rsidRPr="00156B45">
        <w:t>:</w:t>
      </w:r>
      <w:r>
        <w:t xml:space="preserve"> What would the annual contract value be for a quarterback of Jalen Hurts’ ability if they were to extend?</w:t>
      </w:r>
    </w:p>
    <w:p w14:paraId="5E28A631" w14:textId="587C9C69" w:rsidR="009A2AFC" w:rsidRDefault="009A2AFC" w:rsidP="009A2AFC">
      <w:pPr>
        <w:ind w:right="0"/>
      </w:pPr>
    </w:p>
    <w:p w14:paraId="3F895697" w14:textId="0C64C4BD" w:rsidR="009A2AFC" w:rsidRDefault="009A2AFC" w:rsidP="009A2AFC">
      <w:pPr>
        <w:ind w:right="0"/>
      </w:pPr>
      <w:r>
        <w:t xml:space="preserve">According to the Linear Regression model, we can be 95% confident that Jalen Hurts’ contract would be between $16.3 million and $65.54 million but centered around </w:t>
      </w:r>
      <w:r w:rsidRPr="009A2AFC">
        <w:rPr>
          <w:b/>
          <w:bCs/>
        </w:rPr>
        <w:t>$40.9 million per year</w:t>
      </w:r>
      <w:r>
        <w:t xml:space="preserve">. This would place his contract </w:t>
      </w:r>
      <w:r w:rsidR="006B00F4">
        <w:t>t</w:t>
      </w:r>
      <w:r>
        <w:t>o</w:t>
      </w:r>
      <w:r w:rsidR="006B00F4">
        <w:t xml:space="preserve"> a similar annual value with</w:t>
      </w:r>
      <w:r>
        <w:t xml:space="preserve"> Dak Prescott, Matthew Stafford, and Derek Carr.</w:t>
      </w:r>
    </w:p>
    <w:p w14:paraId="4B340125" w14:textId="77777777" w:rsidR="009A2AFC" w:rsidRDefault="009A2AFC" w:rsidP="009A2AFC">
      <w:pPr>
        <w:ind w:right="0"/>
      </w:pPr>
    </w:p>
    <w:p w14:paraId="251CB5B2" w14:textId="37886EAA" w:rsidR="009A2AFC" w:rsidRDefault="009A2AFC" w:rsidP="009A2AFC">
      <w:pPr>
        <w:ind w:right="0"/>
      </w:pPr>
      <w:r w:rsidRPr="00C76646">
        <w:rPr>
          <w:u w:val="single"/>
        </w:rPr>
        <w:t>Question 3</w:t>
      </w:r>
      <w:r>
        <w:t>: How many years would a contract for a quarterback of Jalen Hurts’ ability extend?</w:t>
      </w:r>
    </w:p>
    <w:p w14:paraId="080A5298" w14:textId="0F0F34BD" w:rsidR="009A2AFC" w:rsidRDefault="009A2AFC" w:rsidP="009A2AFC">
      <w:pPr>
        <w:ind w:right="0"/>
      </w:pPr>
    </w:p>
    <w:p w14:paraId="5566EDE2" w14:textId="4E8ACCE1" w:rsidR="009A2AFC" w:rsidRPr="009A2AFC" w:rsidRDefault="009A2AFC" w:rsidP="009A2AFC">
      <w:pPr>
        <w:ind w:right="0"/>
      </w:pPr>
      <w:r>
        <w:t xml:space="preserve">According to the Linear Regression model, we can be 95% confident that Jalen Hurts’ contract length would be between 0 to 7.8 years but centered around 3.8 years. </w:t>
      </w:r>
      <w:r w:rsidRPr="009A2AFC">
        <w:t>Rounding</w:t>
      </w:r>
      <w:r>
        <w:t xml:space="preserve"> to</w:t>
      </w:r>
      <w:r>
        <w:rPr>
          <w:b/>
          <w:bCs/>
        </w:rPr>
        <w:t xml:space="preserve"> 4 years</w:t>
      </w:r>
      <w:r>
        <w:t xml:space="preserve"> would be a reasonable contract length.</w:t>
      </w:r>
    </w:p>
    <w:p w14:paraId="02FADAB5" w14:textId="77777777" w:rsidR="00260FF5" w:rsidRPr="00260FF5" w:rsidRDefault="00260FF5" w:rsidP="000B42F7">
      <w:pPr>
        <w:ind w:right="0"/>
      </w:pPr>
    </w:p>
    <w:p w14:paraId="6CA4FFD5" w14:textId="77777777" w:rsidR="00BB6E6D" w:rsidRDefault="00BB6E6D" w:rsidP="002D1569">
      <w:pPr>
        <w:ind w:left="0" w:right="0"/>
      </w:pPr>
    </w:p>
    <w:p w14:paraId="10F7836C" w14:textId="2301DF93" w:rsidR="00A6694B" w:rsidRDefault="00A6694B" w:rsidP="000B42F7">
      <w:pPr>
        <w:ind w:right="0"/>
      </w:pPr>
    </w:p>
    <w:p w14:paraId="5FB302F0" w14:textId="77777777" w:rsidR="00D4190C" w:rsidRDefault="00D4190C" w:rsidP="008F0CCC">
      <w:pPr>
        <w:pStyle w:val="Heading1"/>
      </w:pPr>
    </w:p>
    <w:p w14:paraId="09EC82A2" w14:textId="77777777" w:rsidR="00D4190C" w:rsidRDefault="00D4190C" w:rsidP="008F0CCC">
      <w:pPr>
        <w:pStyle w:val="Heading1"/>
      </w:pPr>
    </w:p>
    <w:p w14:paraId="5B333676" w14:textId="77777777" w:rsidR="00D4190C" w:rsidRDefault="00D4190C" w:rsidP="008F0CCC">
      <w:pPr>
        <w:pStyle w:val="Heading1"/>
      </w:pPr>
    </w:p>
    <w:p w14:paraId="19EACBAB" w14:textId="515C40EA" w:rsidR="008F0CCC" w:rsidRDefault="008F0CCC" w:rsidP="008F0CCC">
      <w:pPr>
        <w:pStyle w:val="Heading1"/>
      </w:pPr>
      <w:r>
        <w:lastRenderedPageBreak/>
        <w:t>5.0 - Resources</w:t>
      </w:r>
    </w:p>
    <w:p w14:paraId="4FCDDB6A" w14:textId="77777777" w:rsidR="008F0CCC" w:rsidRDefault="008F0CCC" w:rsidP="000B42F7">
      <w:pPr>
        <w:ind w:right="0"/>
      </w:pPr>
    </w:p>
    <w:p w14:paraId="0E4A8798" w14:textId="33B5E62C" w:rsidR="002430B8" w:rsidRDefault="002430B8" w:rsidP="002430B8">
      <w:pPr>
        <w:pStyle w:val="ListParagraph"/>
        <w:numPr>
          <w:ilvl w:val="0"/>
          <w:numId w:val="21"/>
        </w:numPr>
      </w:pPr>
      <w:r>
        <w:t xml:space="preserve">nflfastR documentation: </w:t>
      </w:r>
      <w:hyperlink r:id="rId12" w:history="1">
        <w:r w:rsidRPr="001328F7">
          <w:rPr>
            <w:rStyle w:val="Hyperlink"/>
          </w:rPr>
          <w:t>https://www.nflfastr.com/</w:t>
        </w:r>
      </w:hyperlink>
    </w:p>
    <w:p w14:paraId="3955E9C0" w14:textId="6FD50F7A" w:rsidR="002430B8" w:rsidRDefault="002430B8" w:rsidP="002430B8">
      <w:pPr>
        <w:pStyle w:val="ListParagraph"/>
        <w:numPr>
          <w:ilvl w:val="0"/>
          <w:numId w:val="21"/>
        </w:numPr>
      </w:pPr>
      <w:r>
        <w:t xml:space="preserve">nflreadr documentation: </w:t>
      </w:r>
      <w:hyperlink r:id="rId13" w:history="1">
        <w:r w:rsidRPr="001328F7">
          <w:rPr>
            <w:rStyle w:val="Hyperlink"/>
          </w:rPr>
          <w:t>https://nflreadr.nflverse.com/</w:t>
        </w:r>
      </w:hyperlink>
    </w:p>
    <w:p w14:paraId="40A17A6A" w14:textId="2094FA14" w:rsidR="00831605" w:rsidRDefault="002430B8" w:rsidP="002430B8">
      <w:pPr>
        <w:pStyle w:val="ListParagraph"/>
        <w:numPr>
          <w:ilvl w:val="0"/>
          <w:numId w:val="21"/>
        </w:numPr>
      </w:pPr>
      <w:r>
        <w:t xml:space="preserve">CPOE Explained: </w:t>
      </w:r>
      <w:hyperlink r:id="rId14" w:history="1">
        <w:r w:rsidRPr="001328F7">
          <w:rPr>
            <w:rStyle w:val="Hyperlink"/>
          </w:rPr>
          <w:t>https://www.the33rdteam.com/breakdowns/cpoe-explained/</w:t>
        </w:r>
      </w:hyperlink>
    </w:p>
    <w:p w14:paraId="48CC6460" w14:textId="734B2252" w:rsidR="002430B8" w:rsidRDefault="002430B8" w:rsidP="002430B8">
      <w:pPr>
        <w:pStyle w:val="ListParagraph"/>
        <w:numPr>
          <w:ilvl w:val="0"/>
          <w:numId w:val="21"/>
        </w:numPr>
      </w:pPr>
      <w:r>
        <w:t xml:space="preserve">EPA Explained: </w:t>
      </w:r>
      <w:hyperlink r:id="rId15" w:history="1">
        <w:r w:rsidRPr="001328F7">
          <w:rPr>
            <w:rStyle w:val="Hyperlink"/>
          </w:rPr>
          <w:t>https://www.nfeloapp.com/analysis/expected-points-added-epa-nfl/</w:t>
        </w:r>
      </w:hyperlink>
    </w:p>
    <w:p w14:paraId="3C37044D" w14:textId="77777777" w:rsidR="002430B8" w:rsidRDefault="002430B8" w:rsidP="002430B8">
      <w:pPr>
        <w:pStyle w:val="ListParagraph"/>
        <w:numPr>
          <w:ilvl w:val="0"/>
          <w:numId w:val="0"/>
        </w:numPr>
        <w:ind w:left="1440"/>
      </w:pPr>
    </w:p>
    <w:p w14:paraId="2A56A140" w14:textId="76A8B129" w:rsidR="00156B45" w:rsidRPr="00156B45" w:rsidRDefault="008F0CCC" w:rsidP="002D1569">
      <w:pPr>
        <w:pStyle w:val="Heading1"/>
        <w:rPr>
          <w:i/>
          <w:iCs/>
        </w:rPr>
      </w:pPr>
      <w:r>
        <w:t>6</w:t>
      </w:r>
      <w:r w:rsidR="009A2AFC">
        <w:t>.0</w:t>
      </w:r>
      <w:r w:rsidR="00A6694B">
        <w:t xml:space="preserve"> - </w:t>
      </w:r>
      <w:r w:rsidR="00156B45" w:rsidRPr="00156B45">
        <w:t>CONSIDERATIONS</w:t>
      </w:r>
    </w:p>
    <w:p w14:paraId="5874E1CD" w14:textId="0DE20C8D" w:rsidR="0072288E" w:rsidRDefault="0072288E" w:rsidP="000B42F7">
      <w:pPr>
        <w:ind w:right="0"/>
      </w:pPr>
    </w:p>
    <w:p w14:paraId="0D8B9AA8" w14:textId="5508D25F" w:rsidR="00831605" w:rsidRDefault="00831605" w:rsidP="000B42F7">
      <w:pPr>
        <w:ind w:right="0"/>
      </w:pPr>
      <w:r>
        <w:t>With only 90 QBs that qualify for the analysis, the size of the data is relatively small. However, if play-by-play data were available prior to 1999 it might not be beneficial to include because of rule changes over time that influence QBs’ performance.</w:t>
      </w:r>
    </w:p>
    <w:p w14:paraId="2F488438" w14:textId="77777777" w:rsidR="00831605" w:rsidRDefault="00831605" w:rsidP="000B42F7">
      <w:pPr>
        <w:ind w:right="0"/>
      </w:pPr>
    </w:p>
    <w:p w14:paraId="3408411C" w14:textId="0BC6ADD8" w:rsidR="00831605" w:rsidRDefault="00831605" w:rsidP="000B42F7">
      <w:pPr>
        <w:ind w:right="0"/>
      </w:pPr>
      <w:r>
        <w:t>There is a significant amount of missing data from nflfastR and nflreadr that could impact the analysis. The CPOE data is only available for the 2006 season and later, but some Franchise QBs such as Tom Brady are still playing in recent seasons played their first 26 games prior to 2006. Some models that handle missing data like XGBoost found CPOE to be a significant predictor in Franchise QB probability.</w:t>
      </w:r>
    </w:p>
    <w:p w14:paraId="70CFAFF9" w14:textId="6A9ED9D7" w:rsidR="00831605" w:rsidRDefault="00831605" w:rsidP="000B42F7">
      <w:pPr>
        <w:ind w:right="0"/>
      </w:pPr>
    </w:p>
    <w:p w14:paraId="6B180D01" w14:textId="48F7CB50" w:rsidR="00831605" w:rsidRDefault="00831605" w:rsidP="000B42F7">
      <w:pPr>
        <w:ind w:right="0"/>
      </w:pPr>
      <w:r>
        <w:t xml:space="preserve">The contracts data is also missing contract extensions for 21 QBs. Many of these QBs are from the earlier end of the </w:t>
      </w:r>
      <w:r w:rsidR="00337BFD">
        <w:t>timeline</w:t>
      </w:r>
      <w:r w:rsidR="00216406">
        <w:t xml:space="preserve"> considered in this analysis, such as Daunte Culpepper.</w:t>
      </w:r>
      <w:r w:rsidR="00337BFD">
        <w:t xml:space="preserve"> Other more recent QBs like Lamar Jackson drop from the dataset because they have yet to have their first extension beyond their rookie contract. The remaining 69 QBs provide enough data for a predictive model, but results in some large prediction intervals. For instance, the 95% prediction interval to Question 3 technically includes a negative value of </w:t>
      </w:r>
      <w:r w:rsidR="00337BFD" w:rsidRPr="00337BFD">
        <w:t>-0.08</w:t>
      </w:r>
      <w:r w:rsidR="00337BFD">
        <w:t>6, which would be an impossible value.</w:t>
      </w:r>
    </w:p>
    <w:p w14:paraId="67008678" w14:textId="1A33A381" w:rsidR="00831605" w:rsidRDefault="00831605" w:rsidP="000B42F7">
      <w:pPr>
        <w:ind w:right="0"/>
      </w:pPr>
    </w:p>
    <w:p w14:paraId="7AA9549D" w14:textId="77777777" w:rsidR="00D4190C" w:rsidRDefault="00D4190C" w:rsidP="000B42F7">
      <w:pPr>
        <w:pStyle w:val="Heading1"/>
        <w:ind w:right="0"/>
      </w:pPr>
      <w:bookmarkStart w:id="10" w:name="_Ref117624535"/>
    </w:p>
    <w:p w14:paraId="608CFE37" w14:textId="77777777" w:rsidR="00D4190C" w:rsidRDefault="00D4190C">
      <w:pPr>
        <w:ind w:left="0" w:right="0"/>
        <w:jc w:val="left"/>
        <w:rPr>
          <w:b/>
          <w:bCs/>
          <w:sz w:val="24"/>
          <w:szCs w:val="24"/>
        </w:rPr>
      </w:pPr>
      <w:r>
        <w:br w:type="page"/>
      </w:r>
    </w:p>
    <w:p w14:paraId="4A8F7E48" w14:textId="4D2005D8" w:rsidR="006A2B23" w:rsidRDefault="006A2B23" w:rsidP="000B42F7">
      <w:pPr>
        <w:pStyle w:val="Heading1"/>
        <w:ind w:right="0"/>
      </w:pPr>
      <w:r>
        <w:lastRenderedPageBreak/>
        <w:t>Appendix A: Predictors Included in Expected Completion %</w:t>
      </w:r>
      <w:bookmarkEnd w:id="10"/>
    </w:p>
    <w:p w14:paraId="5F26D452" w14:textId="6FAC3556" w:rsidR="006A2B23" w:rsidRDefault="006A2B23" w:rsidP="000B42F7">
      <w:pPr>
        <w:ind w:right="0"/>
      </w:pPr>
    </w:p>
    <w:p w14:paraId="3C87257E" w14:textId="5779E976" w:rsidR="006A2B23" w:rsidRDefault="006A2B23" w:rsidP="000B42F7">
      <w:pPr>
        <w:ind w:right="0"/>
      </w:pPr>
      <w:r>
        <w:t xml:space="preserve">As found in </w:t>
      </w:r>
      <w:hyperlink r:id="rId16" w:history="1">
        <w:r w:rsidRPr="008261CA">
          <w:rPr>
            <w:rStyle w:val="Hyperlink"/>
          </w:rPr>
          <w:t>https://www.the33rdteam.com/breakdowns/cpoe-explained/</w:t>
        </w:r>
      </w:hyperlink>
      <w:r>
        <w:t>:</w:t>
      </w:r>
    </w:p>
    <w:p w14:paraId="4081C67B" w14:textId="3BA92D5F" w:rsidR="006A2B23" w:rsidRDefault="006A2B23" w:rsidP="000B42F7">
      <w:pPr>
        <w:ind w:right="0"/>
      </w:pPr>
    </w:p>
    <w:p w14:paraId="45F0D5C7" w14:textId="77777777" w:rsidR="006A2B23" w:rsidRPr="006A2B23" w:rsidRDefault="006A2B23" w:rsidP="000B42F7">
      <w:pPr>
        <w:pStyle w:val="ListParagraph"/>
        <w:numPr>
          <w:ilvl w:val="0"/>
          <w:numId w:val="18"/>
        </w:numPr>
      </w:pPr>
      <w:r w:rsidRPr="006A2B23">
        <w:t>Field position</w:t>
      </w:r>
    </w:p>
    <w:p w14:paraId="4346147A" w14:textId="77777777" w:rsidR="006A2B23" w:rsidRPr="006A2B23" w:rsidRDefault="006A2B23" w:rsidP="000B42F7">
      <w:pPr>
        <w:pStyle w:val="ListParagraph"/>
        <w:numPr>
          <w:ilvl w:val="0"/>
          <w:numId w:val="18"/>
        </w:numPr>
      </w:pPr>
      <w:r w:rsidRPr="006A2B23">
        <w:t>Down</w:t>
      </w:r>
    </w:p>
    <w:p w14:paraId="728C5659" w14:textId="77777777" w:rsidR="006A2B23" w:rsidRPr="006A2B23" w:rsidRDefault="006A2B23" w:rsidP="000B42F7">
      <w:pPr>
        <w:pStyle w:val="ListParagraph"/>
        <w:numPr>
          <w:ilvl w:val="0"/>
          <w:numId w:val="18"/>
        </w:numPr>
      </w:pPr>
      <w:r w:rsidRPr="006A2B23">
        <w:t>Yards to go</w:t>
      </w:r>
    </w:p>
    <w:p w14:paraId="0CD97FDC" w14:textId="77777777" w:rsidR="006A2B23" w:rsidRPr="006A2B23" w:rsidRDefault="006A2B23" w:rsidP="000B42F7">
      <w:pPr>
        <w:pStyle w:val="ListParagraph"/>
        <w:numPr>
          <w:ilvl w:val="0"/>
          <w:numId w:val="18"/>
        </w:numPr>
      </w:pPr>
      <w:r w:rsidRPr="006A2B23">
        <w:t>Air yards</w:t>
      </w:r>
    </w:p>
    <w:p w14:paraId="0F0AC137" w14:textId="77777777" w:rsidR="006A2B23" w:rsidRPr="006A2B23" w:rsidRDefault="006A2B23" w:rsidP="000B42F7">
      <w:pPr>
        <w:pStyle w:val="ListParagraph"/>
        <w:numPr>
          <w:ilvl w:val="0"/>
          <w:numId w:val="18"/>
        </w:numPr>
      </w:pPr>
      <w:r w:rsidRPr="006A2B23">
        <w:t>Distance to sticks (air yards – yards to go)</w:t>
      </w:r>
    </w:p>
    <w:p w14:paraId="2AA3077D" w14:textId="77777777" w:rsidR="006A2B23" w:rsidRPr="006A2B23" w:rsidRDefault="006A2B23" w:rsidP="000B42F7">
      <w:pPr>
        <w:pStyle w:val="ListParagraph"/>
        <w:numPr>
          <w:ilvl w:val="0"/>
          <w:numId w:val="18"/>
        </w:numPr>
      </w:pPr>
      <w:r w:rsidRPr="006A2B23">
        <w:t>Whether possession team is at home</w:t>
      </w:r>
    </w:p>
    <w:p w14:paraId="4B631C34" w14:textId="77777777" w:rsidR="006A2B23" w:rsidRPr="006A2B23" w:rsidRDefault="006A2B23" w:rsidP="000B42F7">
      <w:pPr>
        <w:pStyle w:val="ListParagraph"/>
        <w:numPr>
          <w:ilvl w:val="0"/>
          <w:numId w:val="18"/>
        </w:numPr>
      </w:pPr>
      <w:r w:rsidRPr="006A2B23">
        <w:t>Whether the game is played indoors</w:t>
      </w:r>
    </w:p>
    <w:p w14:paraId="343DCFE8" w14:textId="77777777" w:rsidR="006A2B23" w:rsidRPr="006A2B23" w:rsidRDefault="006A2B23" w:rsidP="000B42F7">
      <w:pPr>
        <w:pStyle w:val="ListParagraph"/>
        <w:numPr>
          <w:ilvl w:val="0"/>
          <w:numId w:val="18"/>
        </w:numPr>
      </w:pPr>
      <w:r w:rsidRPr="006A2B23">
        <w:t>Era, broken down into 2006-2013, 2014-2017, 2018 and beyond</w:t>
      </w:r>
    </w:p>
    <w:p w14:paraId="425DC907" w14:textId="77777777" w:rsidR="006A2B23" w:rsidRPr="006A2B23" w:rsidRDefault="006A2B23" w:rsidP="000B42F7">
      <w:pPr>
        <w:pStyle w:val="ListParagraph"/>
        <w:numPr>
          <w:ilvl w:val="0"/>
          <w:numId w:val="18"/>
        </w:numPr>
      </w:pPr>
      <w:r w:rsidRPr="006A2B23">
        <w:t>Pass location (binary: middle or not middle)</w:t>
      </w:r>
    </w:p>
    <w:p w14:paraId="643E629C" w14:textId="586AEAF4" w:rsidR="006A2B23" w:rsidRDefault="006A2B23" w:rsidP="000B42F7">
      <w:pPr>
        <w:pStyle w:val="ListParagraph"/>
        <w:numPr>
          <w:ilvl w:val="0"/>
          <w:numId w:val="18"/>
        </w:numPr>
      </w:pPr>
      <w:r w:rsidRPr="006A2B23">
        <w:t>Whether quarterback was hit on the play</w:t>
      </w:r>
    </w:p>
    <w:p w14:paraId="18C465E4" w14:textId="7BD17098" w:rsidR="001B7D65" w:rsidRDefault="001B7D65" w:rsidP="000B42F7">
      <w:pPr>
        <w:ind w:left="0" w:right="0"/>
        <w:jc w:val="left"/>
        <w:rPr>
          <w:rFonts w:cs="Arial"/>
        </w:rPr>
      </w:pPr>
      <w:r>
        <w:rPr>
          <w:rFonts w:cs="Arial"/>
        </w:rPr>
        <w:br w:type="page"/>
      </w:r>
    </w:p>
    <w:p w14:paraId="2CD95FE5" w14:textId="60189E98" w:rsidR="001B7D65" w:rsidRDefault="001B7D65" w:rsidP="000B42F7">
      <w:pPr>
        <w:pStyle w:val="Heading1"/>
        <w:ind w:right="0"/>
      </w:pPr>
      <w:bookmarkStart w:id="11" w:name="_Ref117703057"/>
      <w:r>
        <w:lastRenderedPageBreak/>
        <w:t>Appendix B: Histograms of</w:t>
      </w:r>
      <w:r w:rsidR="007534DF">
        <w:t xml:space="preserve"> Franchise QB</w:t>
      </w:r>
      <w:r>
        <w:t xml:space="preserve"> Predictor Variables</w:t>
      </w:r>
      <w:bookmarkEnd w:id="11"/>
    </w:p>
    <w:p w14:paraId="13A17747" w14:textId="34699498" w:rsidR="001B7D65" w:rsidRDefault="001B7D65" w:rsidP="000B42F7">
      <w:pPr>
        <w:ind w:right="0"/>
      </w:pPr>
    </w:p>
    <w:p w14:paraId="5F92C5D0" w14:textId="77777777" w:rsidR="007534DF" w:rsidRDefault="001B7D65" w:rsidP="000B42F7">
      <w:pPr>
        <w:keepNext/>
        <w:ind w:right="0"/>
      </w:pPr>
      <w:r>
        <w:rPr>
          <w:noProof/>
        </w:rPr>
        <w:drawing>
          <wp:inline distT="0" distB="0" distL="0" distR="0" wp14:anchorId="14F89079" wp14:editId="1A2268C0">
            <wp:extent cx="6205491" cy="5113374"/>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08491" cy="5115846"/>
                    </a:xfrm>
                    <a:prstGeom prst="rect">
                      <a:avLst/>
                    </a:prstGeom>
                  </pic:spPr>
                </pic:pic>
              </a:graphicData>
            </a:graphic>
          </wp:inline>
        </w:drawing>
      </w:r>
    </w:p>
    <w:p w14:paraId="51764EBA" w14:textId="4EF7979D" w:rsidR="001B7D65" w:rsidRDefault="007534DF" w:rsidP="000B42F7">
      <w:pPr>
        <w:pStyle w:val="Caption"/>
        <w:ind w:right="0"/>
      </w:pPr>
      <w:r>
        <w:t xml:space="preserve">Figure </w:t>
      </w:r>
      <w:r>
        <w:fldChar w:fldCharType="begin"/>
      </w:r>
      <w:r>
        <w:instrText xml:space="preserve"> SEQ Figure \* ARABIC </w:instrText>
      </w:r>
      <w:r>
        <w:fldChar w:fldCharType="separate"/>
      </w:r>
      <w:r w:rsidR="000B42F7">
        <w:rPr>
          <w:noProof/>
        </w:rPr>
        <w:t>3</w:t>
      </w:r>
      <w:r>
        <w:fldChar w:fldCharType="end"/>
      </w:r>
      <w:r>
        <w:t>. Histograms of Franchise QB Predictor Variables</w:t>
      </w:r>
    </w:p>
    <w:p w14:paraId="4355FEA4" w14:textId="5516A495" w:rsidR="00263903" w:rsidRDefault="00263903" w:rsidP="000B42F7">
      <w:pPr>
        <w:ind w:right="0"/>
      </w:pPr>
    </w:p>
    <w:p w14:paraId="60B4BB26" w14:textId="107C848A" w:rsidR="00263903" w:rsidRDefault="00263903" w:rsidP="000B42F7">
      <w:pPr>
        <w:ind w:left="0" w:right="0"/>
        <w:jc w:val="left"/>
      </w:pPr>
      <w:r>
        <w:br w:type="page"/>
      </w:r>
    </w:p>
    <w:p w14:paraId="13F54C8C" w14:textId="53D8DFD0" w:rsidR="00263903" w:rsidRDefault="00263903" w:rsidP="000B42F7">
      <w:pPr>
        <w:pStyle w:val="Heading1"/>
        <w:ind w:right="0"/>
      </w:pPr>
      <w:bookmarkStart w:id="12" w:name="_Ref117706259"/>
      <w:r>
        <w:lastRenderedPageBreak/>
        <w:t>Appendix C: Predictor Variables for Contract Analyses</w:t>
      </w:r>
      <w:bookmarkEnd w:id="12"/>
    </w:p>
    <w:p w14:paraId="35A5A5F6" w14:textId="2EDCAF7A" w:rsidR="00263903" w:rsidRDefault="00263903" w:rsidP="000B42F7">
      <w:pPr>
        <w:ind w:right="0"/>
      </w:pPr>
    </w:p>
    <w:p w14:paraId="21CDEC86" w14:textId="7E13CE27" w:rsidR="00BA3FE6" w:rsidRDefault="00BA3FE6" w:rsidP="000B42F7">
      <w:pPr>
        <w:pStyle w:val="Caption"/>
        <w:ind w:right="0"/>
      </w:pPr>
      <w:r>
        <w:t xml:space="preserve">Table </w:t>
      </w:r>
      <w:r>
        <w:fldChar w:fldCharType="begin"/>
      </w:r>
      <w:r>
        <w:instrText xml:space="preserve"> SEQ Table \* ARABIC </w:instrText>
      </w:r>
      <w:r>
        <w:fldChar w:fldCharType="separate"/>
      </w:r>
      <w:r w:rsidR="00E02EAD">
        <w:rPr>
          <w:noProof/>
        </w:rPr>
        <w:t>10</w:t>
      </w:r>
      <w:r>
        <w:fldChar w:fldCharType="end"/>
      </w:r>
      <w:r>
        <w:t>. Numerical Summary of</w:t>
      </w:r>
      <w:r w:rsidR="0070449B">
        <w:t xml:space="preserve"> Contract Predictor Variables after filtering.</w:t>
      </w:r>
    </w:p>
    <w:tbl>
      <w:tblPr>
        <w:tblStyle w:val="TableGrid"/>
        <w:tblW w:w="0" w:type="auto"/>
        <w:tblInd w:w="720" w:type="dxa"/>
        <w:tblLook w:val="04A0" w:firstRow="1" w:lastRow="0" w:firstColumn="1" w:lastColumn="0" w:noHBand="0" w:noVBand="1"/>
      </w:tblPr>
      <w:tblGrid>
        <w:gridCol w:w="2036"/>
        <w:gridCol w:w="1700"/>
        <w:gridCol w:w="1027"/>
        <w:gridCol w:w="1695"/>
        <w:gridCol w:w="900"/>
        <w:gridCol w:w="996"/>
        <w:gridCol w:w="996"/>
      </w:tblGrid>
      <w:tr w:rsidR="00263903" w:rsidRPr="00BE6E4B" w14:paraId="506F65DD" w14:textId="77777777" w:rsidTr="00263903">
        <w:trPr>
          <w:trHeight w:val="300"/>
        </w:trPr>
        <w:tc>
          <w:tcPr>
            <w:tcW w:w="2036" w:type="dxa"/>
            <w:noWrap/>
            <w:hideMark/>
          </w:tcPr>
          <w:p w14:paraId="353AC5FB" w14:textId="77777777" w:rsidR="00263903" w:rsidRPr="00BE6E4B" w:rsidRDefault="00263903" w:rsidP="000B42F7">
            <w:pPr>
              <w:ind w:left="0" w:right="0"/>
              <w:jc w:val="left"/>
              <w:rPr>
                <w:rFonts w:cs="Arial"/>
                <w:b/>
                <w:bCs/>
                <w:color w:val="000000"/>
              </w:rPr>
            </w:pPr>
            <w:r w:rsidRPr="00BE6E4B">
              <w:rPr>
                <w:rFonts w:cs="Arial"/>
                <w:b/>
                <w:bCs/>
                <w:color w:val="000000"/>
              </w:rPr>
              <w:t>Variable</w:t>
            </w:r>
          </w:p>
        </w:tc>
        <w:tc>
          <w:tcPr>
            <w:tcW w:w="1700" w:type="dxa"/>
            <w:noWrap/>
            <w:hideMark/>
          </w:tcPr>
          <w:p w14:paraId="2ACA02B4" w14:textId="77777777" w:rsidR="00263903" w:rsidRPr="00BE6E4B" w:rsidRDefault="00263903" w:rsidP="000B42F7">
            <w:pPr>
              <w:ind w:left="0" w:right="0"/>
              <w:jc w:val="left"/>
              <w:rPr>
                <w:rFonts w:cs="Arial"/>
                <w:b/>
                <w:bCs/>
                <w:color w:val="000000"/>
              </w:rPr>
            </w:pPr>
            <w:r w:rsidRPr="00BE6E4B">
              <w:rPr>
                <w:rFonts w:cs="Arial"/>
                <w:b/>
                <w:bCs/>
                <w:color w:val="000000"/>
              </w:rPr>
              <w:t>Missing Values</w:t>
            </w:r>
          </w:p>
        </w:tc>
        <w:tc>
          <w:tcPr>
            <w:tcW w:w="1027" w:type="dxa"/>
            <w:noWrap/>
            <w:hideMark/>
          </w:tcPr>
          <w:p w14:paraId="22D68909" w14:textId="77777777" w:rsidR="00263903" w:rsidRPr="00BE6E4B" w:rsidRDefault="00263903" w:rsidP="000B42F7">
            <w:pPr>
              <w:ind w:left="0" w:right="0"/>
              <w:jc w:val="left"/>
              <w:rPr>
                <w:rFonts w:cs="Arial"/>
                <w:b/>
                <w:bCs/>
                <w:color w:val="000000"/>
              </w:rPr>
            </w:pPr>
            <w:r w:rsidRPr="00BE6E4B">
              <w:rPr>
                <w:rFonts w:cs="Arial"/>
                <w:b/>
                <w:bCs/>
                <w:color w:val="000000"/>
              </w:rPr>
              <w:t>Mean</w:t>
            </w:r>
          </w:p>
        </w:tc>
        <w:tc>
          <w:tcPr>
            <w:tcW w:w="1695" w:type="dxa"/>
            <w:noWrap/>
            <w:hideMark/>
          </w:tcPr>
          <w:p w14:paraId="1B53E95A" w14:textId="77777777" w:rsidR="00263903" w:rsidRPr="00BE6E4B" w:rsidRDefault="00263903" w:rsidP="000B42F7">
            <w:pPr>
              <w:ind w:left="0" w:right="0"/>
              <w:jc w:val="left"/>
              <w:rPr>
                <w:rFonts w:cs="Arial"/>
                <w:b/>
                <w:bCs/>
                <w:color w:val="000000"/>
              </w:rPr>
            </w:pPr>
            <w:r w:rsidRPr="00BE6E4B">
              <w:rPr>
                <w:rFonts w:cs="Arial"/>
                <w:b/>
                <w:bCs/>
                <w:color w:val="000000"/>
              </w:rPr>
              <w:t>Standard Deviation</w:t>
            </w:r>
          </w:p>
        </w:tc>
        <w:tc>
          <w:tcPr>
            <w:tcW w:w="900" w:type="dxa"/>
            <w:noWrap/>
            <w:hideMark/>
          </w:tcPr>
          <w:p w14:paraId="7D2BD551" w14:textId="77777777" w:rsidR="00263903" w:rsidRPr="00BE6E4B" w:rsidRDefault="00263903" w:rsidP="000B42F7">
            <w:pPr>
              <w:ind w:left="0" w:right="0"/>
              <w:jc w:val="left"/>
              <w:rPr>
                <w:rFonts w:cs="Arial"/>
                <w:b/>
                <w:bCs/>
                <w:color w:val="000000"/>
              </w:rPr>
            </w:pPr>
            <w:r w:rsidRPr="00BE6E4B">
              <w:rPr>
                <w:rFonts w:cs="Arial"/>
                <w:b/>
                <w:bCs/>
                <w:color w:val="000000"/>
              </w:rPr>
              <w:t>Min</w:t>
            </w:r>
          </w:p>
        </w:tc>
        <w:tc>
          <w:tcPr>
            <w:tcW w:w="996" w:type="dxa"/>
            <w:noWrap/>
            <w:hideMark/>
          </w:tcPr>
          <w:p w14:paraId="15A38A67" w14:textId="77777777" w:rsidR="00263903" w:rsidRPr="00BE6E4B" w:rsidRDefault="00263903" w:rsidP="000B42F7">
            <w:pPr>
              <w:ind w:left="0" w:right="0"/>
              <w:jc w:val="left"/>
              <w:rPr>
                <w:rFonts w:cs="Arial"/>
                <w:b/>
                <w:bCs/>
                <w:color w:val="000000"/>
              </w:rPr>
            </w:pPr>
            <w:r w:rsidRPr="00BE6E4B">
              <w:rPr>
                <w:rFonts w:cs="Arial"/>
                <w:b/>
                <w:bCs/>
                <w:color w:val="000000"/>
              </w:rPr>
              <w:t>Max</w:t>
            </w:r>
          </w:p>
        </w:tc>
        <w:tc>
          <w:tcPr>
            <w:tcW w:w="996" w:type="dxa"/>
            <w:noWrap/>
            <w:hideMark/>
          </w:tcPr>
          <w:p w14:paraId="3E013C34" w14:textId="77777777" w:rsidR="00263903" w:rsidRPr="00BE6E4B" w:rsidRDefault="00263903" w:rsidP="000B42F7">
            <w:pPr>
              <w:ind w:left="0" w:right="0"/>
              <w:jc w:val="left"/>
              <w:rPr>
                <w:rFonts w:cs="Arial"/>
                <w:b/>
                <w:bCs/>
                <w:color w:val="000000"/>
              </w:rPr>
            </w:pPr>
            <w:r w:rsidRPr="00BE6E4B">
              <w:rPr>
                <w:rFonts w:cs="Arial"/>
                <w:b/>
                <w:bCs/>
                <w:color w:val="000000"/>
              </w:rPr>
              <w:t>Range</w:t>
            </w:r>
          </w:p>
        </w:tc>
      </w:tr>
      <w:tr w:rsidR="00263903" w:rsidRPr="00263903" w14:paraId="5714C6CF" w14:textId="77777777" w:rsidTr="00263903">
        <w:trPr>
          <w:trHeight w:val="300"/>
        </w:trPr>
        <w:tc>
          <w:tcPr>
            <w:tcW w:w="2036" w:type="dxa"/>
            <w:noWrap/>
            <w:hideMark/>
          </w:tcPr>
          <w:p w14:paraId="51957657" w14:textId="52769E20" w:rsidR="00263903" w:rsidRPr="00263903" w:rsidRDefault="00263903" w:rsidP="000B42F7">
            <w:pPr>
              <w:ind w:left="0" w:right="0"/>
              <w:jc w:val="left"/>
              <w:rPr>
                <w:rFonts w:cs="Arial"/>
                <w:color w:val="000000"/>
              </w:rPr>
            </w:pPr>
            <w:r w:rsidRPr="00263903">
              <w:rPr>
                <w:rFonts w:cs="Arial"/>
                <w:color w:val="000000"/>
              </w:rPr>
              <w:t>E</w:t>
            </w:r>
            <w:r w:rsidRPr="00546176">
              <w:rPr>
                <w:rFonts w:cs="Arial"/>
                <w:color w:val="000000"/>
              </w:rPr>
              <w:t xml:space="preserve">PA </w:t>
            </w:r>
            <w:r w:rsidRPr="00263903">
              <w:rPr>
                <w:rFonts w:cs="Arial"/>
                <w:color w:val="000000"/>
              </w:rPr>
              <w:t>Per Play</w:t>
            </w:r>
          </w:p>
        </w:tc>
        <w:tc>
          <w:tcPr>
            <w:tcW w:w="1700" w:type="dxa"/>
            <w:noWrap/>
            <w:hideMark/>
          </w:tcPr>
          <w:p w14:paraId="6DE9D273"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3E3B86BB" w14:textId="77777777" w:rsidR="00263903" w:rsidRPr="00263903" w:rsidRDefault="00263903" w:rsidP="000B42F7">
            <w:pPr>
              <w:ind w:left="0" w:right="0"/>
              <w:jc w:val="right"/>
              <w:rPr>
                <w:rFonts w:cs="Arial"/>
                <w:color w:val="000000"/>
              </w:rPr>
            </w:pPr>
            <w:r w:rsidRPr="00263903">
              <w:rPr>
                <w:rFonts w:cs="Arial"/>
                <w:color w:val="000000"/>
              </w:rPr>
              <w:t>0.04</w:t>
            </w:r>
          </w:p>
        </w:tc>
        <w:tc>
          <w:tcPr>
            <w:tcW w:w="1695" w:type="dxa"/>
            <w:noWrap/>
            <w:hideMark/>
          </w:tcPr>
          <w:p w14:paraId="0CAC7EA4" w14:textId="77777777" w:rsidR="00263903" w:rsidRPr="00263903" w:rsidRDefault="00263903" w:rsidP="000B42F7">
            <w:pPr>
              <w:ind w:left="0" w:right="0"/>
              <w:jc w:val="right"/>
              <w:rPr>
                <w:rFonts w:cs="Arial"/>
                <w:color w:val="000000"/>
              </w:rPr>
            </w:pPr>
            <w:r w:rsidRPr="00263903">
              <w:rPr>
                <w:rFonts w:cs="Arial"/>
                <w:color w:val="000000"/>
              </w:rPr>
              <w:t>0.09</w:t>
            </w:r>
          </w:p>
        </w:tc>
        <w:tc>
          <w:tcPr>
            <w:tcW w:w="900" w:type="dxa"/>
            <w:noWrap/>
            <w:hideMark/>
          </w:tcPr>
          <w:p w14:paraId="508310BA" w14:textId="77777777" w:rsidR="00263903" w:rsidRPr="00263903" w:rsidRDefault="00263903" w:rsidP="000B42F7">
            <w:pPr>
              <w:ind w:left="0" w:right="0"/>
              <w:jc w:val="right"/>
              <w:rPr>
                <w:rFonts w:cs="Arial"/>
                <w:color w:val="000000"/>
              </w:rPr>
            </w:pPr>
            <w:r w:rsidRPr="00263903">
              <w:rPr>
                <w:rFonts w:cs="Arial"/>
                <w:color w:val="000000"/>
              </w:rPr>
              <w:t>-0.18</w:t>
            </w:r>
          </w:p>
        </w:tc>
        <w:tc>
          <w:tcPr>
            <w:tcW w:w="996" w:type="dxa"/>
            <w:noWrap/>
            <w:hideMark/>
          </w:tcPr>
          <w:p w14:paraId="4F257D6C" w14:textId="77777777" w:rsidR="00263903" w:rsidRPr="00263903" w:rsidRDefault="00263903" w:rsidP="000B42F7">
            <w:pPr>
              <w:ind w:left="0" w:right="0"/>
              <w:jc w:val="right"/>
              <w:rPr>
                <w:rFonts w:cs="Arial"/>
                <w:color w:val="000000"/>
              </w:rPr>
            </w:pPr>
            <w:r w:rsidRPr="00263903">
              <w:rPr>
                <w:rFonts w:cs="Arial"/>
                <w:color w:val="000000"/>
              </w:rPr>
              <w:t>0.32</w:t>
            </w:r>
          </w:p>
        </w:tc>
        <w:tc>
          <w:tcPr>
            <w:tcW w:w="996" w:type="dxa"/>
            <w:noWrap/>
            <w:hideMark/>
          </w:tcPr>
          <w:p w14:paraId="6C496782" w14:textId="77777777" w:rsidR="00263903" w:rsidRPr="00263903" w:rsidRDefault="00263903" w:rsidP="000B42F7">
            <w:pPr>
              <w:ind w:left="0" w:right="0"/>
              <w:jc w:val="right"/>
              <w:rPr>
                <w:rFonts w:cs="Arial"/>
                <w:color w:val="000000"/>
              </w:rPr>
            </w:pPr>
            <w:r w:rsidRPr="00263903">
              <w:rPr>
                <w:rFonts w:cs="Arial"/>
                <w:color w:val="000000"/>
              </w:rPr>
              <w:t>0.51</w:t>
            </w:r>
          </w:p>
        </w:tc>
      </w:tr>
      <w:tr w:rsidR="00263903" w:rsidRPr="00263903" w14:paraId="6EB4856A" w14:textId="77777777" w:rsidTr="00263903">
        <w:trPr>
          <w:trHeight w:val="300"/>
        </w:trPr>
        <w:tc>
          <w:tcPr>
            <w:tcW w:w="2036" w:type="dxa"/>
            <w:noWrap/>
            <w:hideMark/>
          </w:tcPr>
          <w:p w14:paraId="531BD248" w14:textId="77777777" w:rsidR="00263903" w:rsidRPr="00263903" w:rsidRDefault="00263903" w:rsidP="000B42F7">
            <w:pPr>
              <w:ind w:left="0" w:right="0"/>
              <w:jc w:val="left"/>
              <w:rPr>
                <w:rFonts w:cs="Arial"/>
                <w:color w:val="000000"/>
              </w:rPr>
            </w:pPr>
            <w:r w:rsidRPr="00263903">
              <w:rPr>
                <w:rFonts w:cs="Arial"/>
                <w:color w:val="000000"/>
              </w:rPr>
              <w:t>Fumbles Per Attempt</w:t>
            </w:r>
          </w:p>
        </w:tc>
        <w:tc>
          <w:tcPr>
            <w:tcW w:w="1700" w:type="dxa"/>
            <w:noWrap/>
            <w:hideMark/>
          </w:tcPr>
          <w:p w14:paraId="6D5F0140"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70BFE012" w14:textId="77777777" w:rsidR="00263903" w:rsidRPr="00263903" w:rsidRDefault="00263903" w:rsidP="000B42F7">
            <w:pPr>
              <w:ind w:left="0" w:right="0"/>
              <w:jc w:val="right"/>
              <w:rPr>
                <w:rFonts w:cs="Arial"/>
                <w:color w:val="000000"/>
              </w:rPr>
            </w:pPr>
            <w:r w:rsidRPr="00263903">
              <w:rPr>
                <w:rFonts w:cs="Arial"/>
                <w:color w:val="000000"/>
              </w:rPr>
              <w:t>0.01</w:t>
            </w:r>
          </w:p>
        </w:tc>
        <w:tc>
          <w:tcPr>
            <w:tcW w:w="1695" w:type="dxa"/>
            <w:noWrap/>
            <w:hideMark/>
          </w:tcPr>
          <w:p w14:paraId="0C03FB11" w14:textId="77777777" w:rsidR="00263903" w:rsidRPr="00263903" w:rsidRDefault="00263903" w:rsidP="000B42F7">
            <w:pPr>
              <w:ind w:left="0" w:right="0"/>
              <w:jc w:val="right"/>
              <w:rPr>
                <w:rFonts w:cs="Arial"/>
                <w:color w:val="000000"/>
              </w:rPr>
            </w:pPr>
            <w:r w:rsidRPr="00263903">
              <w:rPr>
                <w:rFonts w:cs="Arial"/>
                <w:color w:val="000000"/>
              </w:rPr>
              <w:t>0.00</w:t>
            </w:r>
          </w:p>
        </w:tc>
        <w:tc>
          <w:tcPr>
            <w:tcW w:w="900" w:type="dxa"/>
            <w:noWrap/>
            <w:hideMark/>
          </w:tcPr>
          <w:p w14:paraId="0FC37DA4" w14:textId="77777777" w:rsidR="00263903" w:rsidRPr="00263903" w:rsidRDefault="00263903" w:rsidP="000B42F7">
            <w:pPr>
              <w:ind w:left="0" w:right="0"/>
              <w:jc w:val="right"/>
              <w:rPr>
                <w:rFonts w:cs="Arial"/>
                <w:color w:val="000000"/>
              </w:rPr>
            </w:pPr>
            <w:r w:rsidRPr="00263903">
              <w:rPr>
                <w:rFonts w:cs="Arial"/>
                <w:color w:val="000000"/>
              </w:rPr>
              <w:t>0.00</w:t>
            </w:r>
          </w:p>
        </w:tc>
        <w:tc>
          <w:tcPr>
            <w:tcW w:w="996" w:type="dxa"/>
            <w:noWrap/>
            <w:hideMark/>
          </w:tcPr>
          <w:p w14:paraId="59B7B479" w14:textId="77777777" w:rsidR="00263903" w:rsidRPr="00263903" w:rsidRDefault="00263903" w:rsidP="000B42F7">
            <w:pPr>
              <w:ind w:left="0" w:right="0"/>
              <w:jc w:val="right"/>
              <w:rPr>
                <w:rFonts w:cs="Arial"/>
                <w:color w:val="000000"/>
              </w:rPr>
            </w:pPr>
            <w:r w:rsidRPr="00263903">
              <w:rPr>
                <w:rFonts w:cs="Arial"/>
                <w:color w:val="000000"/>
              </w:rPr>
              <w:t>0.01</w:t>
            </w:r>
          </w:p>
        </w:tc>
        <w:tc>
          <w:tcPr>
            <w:tcW w:w="996" w:type="dxa"/>
            <w:noWrap/>
            <w:hideMark/>
          </w:tcPr>
          <w:p w14:paraId="77937320" w14:textId="77777777" w:rsidR="00263903" w:rsidRPr="00263903" w:rsidRDefault="00263903" w:rsidP="000B42F7">
            <w:pPr>
              <w:ind w:left="0" w:right="0"/>
              <w:jc w:val="right"/>
              <w:rPr>
                <w:rFonts w:cs="Arial"/>
                <w:color w:val="000000"/>
              </w:rPr>
            </w:pPr>
            <w:r w:rsidRPr="00263903">
              <w:rPr>
                <w:rFonts w:cs="Arial"/>
                <w:color w:val="000000"/>
              </w:rPr>
              <w:t>0.01</w:t>
            </w:r>
          </w:p>
        </w:tc>
      </w:tr>
      <w:tr w:rsidR="00263903" w:rsidRPr="00263903" w14:paraId="1354EDF8" w14:textId="77777777" w:rsidTr="00263903">
        <w:trPr>
          <w:trHeight w:val="300"/>
        </w:trPr>
        <w:tc>
          <w:tcPr>
            <w:tcW w:w="2036" w:type="dxa"/>
            <w:noWrap/>
            <w:hideMark/>
          </w:tcPr>
          <w:p w14:paraId="1E6F17D7" w14:textId="77777777" w:rsidR="00263903" w:rsidRPr="00263903" w:rsidRDefault="00263903" w:rsidP="000B42F7">
            <w:pPr>
              <w:ind w:left="0" w:right="0"/>
              <w:jc w:val="left"/>
              <w:rPr>
                <w:rFonts w:cs="Arial"/>
                <w:color w:val="000000"/>
              </w:rPr>
            </w:pPr>
            <w:r w:rsidRPr="00263903">
              <w:rPr>
                <w:rFonts w:cs="Arial"/>
                <w:color w:val="000000"/>
              </w:rPr>
              <w:t>Interceptions Per Attempt</w:t>
            </w:r>
          </w:p>
        </w:tc>
        <w:tc>
          <w:tcPr>
            <w:tcW w:w="1700" w:type="dxa"/>
            <w:noWrap/>
            <w:hideMark/>
          </w:tcPr>
          <w:p w14:paraId="26F24EFA"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38CC8551" w14:textId="77777777" w:rsidR="00263903" w:rsidRPr="00263903" w:rsidRDefault="00263903" w:rsidP="000B42F7">
            <w:pPr>
              <w:ind w:left="0" w:right="0"/>
              <w:jc w:val="right"/>
              <w:rPr>
                <w:rFonts w:cs="Arial"/>
                <w:color w:val="000000"/>
              </w:rPr>
            </w:pPr>
            <w:r w:rsidRPr="00263903">
              <w:rPr>
                <w:rFonts w:cs="Arial"/>
                <w:color w:val="000000"/>
              </w:rPr>
              <w:t>0.03</w:t>
            </w:r>
          </w:p>
        </w:tc>
        <w:tc>
          <w:tcPr>
            <w:tcW w:w="1695" w:type="dxa"/>
            <w:noWrap/>
            <w:hideMark/>
          </w:tcPr>
          <w:p w14:paraId="19234C9E" w14:textId="77777777" w:rsidR="00263903" w:rsidRPr="00263903" w:rsidRDefault="00263903" w:rsidP="000B42F7">
            <w:pPr>
              <w:ind w:left="0" w:right="0"/>
              <w:jc w:val="right"/>
              <w:rPr>
                <w:rFonts w:cs="Arial"/>
                <w:color w:val="000000"/>
              </w:rPr>
            </w:pPr>
            <w:r w:rsidRPr="00263903">
              <w:rPr>
                <w:rFonts w:cs="Arial"/>
                <w:color w:val="000000"/>
              </w:rPr>
              <w:t>0.01</w:t>
            </w:r>
          </w:p>
        </w:tc>
        <w:tc>
          <w:tcPr>
            <w:tcW w:w="900" w:type="dxa"/>
            <w:noWrap/>
            <w:hideMark/>
          </w:tcPr>
          <w:p w14:paraId="7A3F1B38" w14:textId="77777777" w:rsidR="00263903" w:rsidRPr="00263903" w:rsidRDefault="00263903" w:rsidP="000B42F7">
            <w:pPr>
              <w:ind w:left="0" w:right="0"/>
              <w:jc w:val="right"/>
              <w:rPr>
                <w:rFonts w:cs="Arial"/>
                <w:color w:val="000000"/>
              </w:rPr>
            </w:pPr>
            <w:r w:rsidRPr="00263903">
              <w:rPr>
                <w:rFonts w:cs="Arial"/>
                <w:color w:val="000000"/>
              </w:rPr>
              <w:t>0.01</w:t>
            </w:r>
          </w:p>
        </w:tc>
        <w:tc>
          <w:tcPr>
            <w:tcW w:w="996" w:type="dxa"/>
            <w:noWrap/>
            <w:hideMark/>
          </w:tcPr>
          <w:p w14:paraId="62041AAB" w14:textId="77777777" w:rsidR="00263903" w:rsidRPr="00263903" w:rsidRDefault="00263903" w:rsidP="000B42F7">
            <w:pPr>
              <w:ind w:left="0" w:right="0"/>
              <w:jc w:val="right"/>
              <w:rPr>
                <w:rFonts w:cs="Arial"/>
                <w:color w:val="000000"/>
              </w:rPr>
            </w:pPr>
            <w:r w:rsidRPr="00263903">
              <w:rPr>
                <w:rFonts w:cs="Arial"/>
                <w:color w:val="000000"/>
              </w:rPr>
              <w:t>0.04</w:t>
            </w:r>
          </w:p>
        </w:tc>
        <w:tc>
          <w:tcPr>
            <w:tcW w:w="996" w:type="dxa"/>
            <w:noWrap/>
            <w:hideMark/>
          </w:tcPr>
          <w:p w14:paraId="527FFE8B" w14:textId="77777777" w:rsidR="00263903" w:rsidRPr="00263903" w:rsidRDefault="00263903" w:rsidP="000B42F7">
            <w:pPr>
              <w:ind w:left="0" w:right="0"/>
              <w:jc w:val="right"/>
              <w:rPr>
                <w:rFonts w:cs="Arial"/>
                <w:color w:val="000000"/>
              </w:rPr>
            </w:pPr>
            <w:r w:rsidRPr="00263903">
              <w:rPr>
                <w:rFonts w:cs="Arial"/>
                <w:color w:val="000000"/>
              </w:rPr>
              <w:t>0.03</w:t>
            </w:r>
          </w:p>
        </w:tc>
      </w:tr>
      <w:tr w:rsidR="00263903" w:rsidRPr="00263903" w14:paraId="09AEB1B3" w14:textId="77777777" w:rsidTr="00263903">
        <w:trPr>
          <w:trHeight w:val="300"/>
        </w:trPr>
        <w:tc>
          <w:tcPr>
            <w:tcW w:w="2036" w:type="dxa"/>
            <w:noWrap/>
            <w:hideMark/>
          </w:tcPr>
          <w:p w14:paraId="3C3A03E8" w14:textId="27676006" w:rsidR="00263903" w:rsidRPr="00263903" w:rsidRDefault="00263903" w:rsidP="000B42F7">
            <w:pPr>
              <w:ind w:left="0" w:right="0"/>
              <w:jc w:val="left"/>
              <w:rPr>
                <w:rFonts w:cs="Arial"/>
                <w:color w:val="000000"/>
              </w:rPr>
            </w:pPr>
            <w:r w:rsidRPr="00263903">
              <w:rPr>
                <w:rFonts w:cs="Arial"/>
                <w:color w:val="000000"/>
              </w:rPr>
              <w:t>Mean C</w:t>
            </w:r>
            <w:r w:rsidRPr="00546176">
              <w:rPr>
                <w:rFonts w:cs="Arial"/>
                <w:color w:val="000000"/>
              </w:rPr>
              <w:t>POE</w:t>
            </w:r>
          </w:p>
        </w:tc>
        <w:tc>
          <w:tcPr>
            <w:tcW w:w="1700" w:type="dxa"/>
            <w:noWrap/>
            <w:hideMark/>
          </w:tcPr>
          <w:p w14:paraId="18B4B9B2" w14:textId="77777777" w:rsidR="00263903" w:rsidRPr="00263903" w:rsidRDefault="00263903" w:rsidP="000B42F7">
            <w:pPr>
              <w:ind w:left="0" w:right="0"/>
              <w:jc w:val="right"/>
              <w:rPr>
                <w:rFonts w:cs="Arial"/>
                <w:color w:val="000000"/>
              </w:rPr>
            </w:pPr>
            <w:r w:rsidRPr="00263903">
              <w:rPr>
                <w:rFonts w:cs="Arial"/>
                <w:color w:val="000000"/>
              </w:rPr>
              <w:t>9</w:t>
            </w:r>
          </w:p>
        </w:tc>
        <w:tc>
          <w:tcPr>
            <w:tcW w:w="1027" w:type="dxa"/>
            <w:noWrap/>
            <w:hideMark/>
          </w:tcPr>
          <w:p w14:paraId="6844900B" w14:textId="77777777" w:rsidR="00263903" w:rsidRPr="00263903" w:rsidRDefault="00263903" w:rsidP="000B42F7">
            <w:pPr>
              <w:ind w:left="0" w:right="0"/>
              <w:jc w:val="right"/>
              <w:rPr>
                <w:rFonts w:cs="Arial"/>
                <w:color w:val="000000"/>
              </w:rPr>
            </w:pPr>
            <w:r w:rsidRPr="00263903">
              <w:rPr>
                <w:rFonts w:cs="Arial"/>
                <w:color w:val="000000"/>
              </w:rPr>
              <w:t>-0.51</w:t>
            </w:r>
          </w:p>
        </w:tc>
        <w:tc>
          <w:tcPr>
            <w:tcW w:w="1695" w:type="dxa"/>
            <w:noWrap/>
            <w:hideMark/>
          </w:tcPr>
          <w:p w14:paraId="2956E08C" w14:textId="77777777" w:rsidR="00263903" w:rsidRPr="00263903" w:rsidRDefault="00263903" w:rsidP="000B42F7">
            <w:pPr>
              <w:ind w:left="0" w:right="0"/>
              <w:jc w:val="right"/>
              <w:rPr>
                <w:rFonts w:cs="Arial"/>
                <w:color w:val="000000"/>
              </w:rPr>
            </w:pPr>
            <w:r w:rsidRPr="00263903">
              <w:rPr>
                <w:rFonts w:cs="Arial"/>
                <w:color w:val="000000"/>
              </w:rPr>
              <w:t>3.26</w:t>
            </w:r>
          </w:p>
        </w:tc>
        <w:tc>
          <w:tcPr>
            <w:tcW w:w="900" w:type="dxa"/>
            <w:noWrap/>
            <w:hideMark/>
          </w:tcPr>
          <w:p w14:paraId="04F11994" w14:textId="77777777" w:rsidR="00263903" w:rsidRPr="00263903" w:rsidRDefault="00263903" w:rsidP="000B42F7">
            <w:pPr>
              <w:ind w:left="0" w:right="0"/>
              <w:jc w:val="right"/>
              <w:rPr>
                <w:rFonts w:cs="Arial"/>
                <w:color w:val="000000"/>
              </w:rPr>
            </w:pPr>
            <w:r w:rsidRPr="00263903">
              <w:rPr>
                <w:rFonts w:cs="Arial"/>
                <w:color w:val="000000"/>
              </w:rPr>
              <w:t>-9.48</w:t>
            </w:r>
          </w:p>
        </w:tc>
        <w:tc>
          <w:tcPr>
            <w:tcW w:w="996" w:type="dxa"/>
            <w:noWrap/>
            <w:hideMark/>
          </w:tcPr>
          <w:p w14:paraId="306EF784" w14:textId="77777777" w:rsidR="00263903" w:rsidRPr="00263903" w:rsidRDefault="00263903" w:rsidP="000B42F7">
            <w:pPr>
              <w:ind w:left="0" w:right="0"/>
              <w:jc w:val="right"/>
              <w:rPr>
                <w:rFonts w:cs="Arial"/>
                <w:color w:val="000000"/>
              </w:rPr>
            </w:pPr>
            <w:r w:rsidRPr="00263903">
              <w:rPr>
                <w:rFonts w:cs="Arial"/>
                <w:color w:val="000000"/>
              </w:rPr>
              <w:t>8.58</w:t>
            </w:r>
          </w:p>
        </w:tc>
        <w:tc>
          <w:tcPr>
            <w:tcW w:w="996" w:type="dxa"/>
            <w:noWrap/>
            <w:hideMark/>
          </w:tcPr>
          <w:p w14:paraId="2C1A5800" w14:textId="77777777" w:rsidR="00263903" w:rsidRPr="00263903" w:rsidRDefault="00263903" w:rsidP="000B42F7">
            <w:pPr>
              <w:ind w:left="0" w:right="0"/>
              <w:jc w:val="right"/>
              <w:rPr>
                <w:rFonts w:cs="Arial"/>
                <w:color w:val="000000"/>
              </w:rPr>
            </w:pPr>
            <w:r w:rsidRPr="00263903">
              <w:rPr>
                <w:rFonts w:cs="Arial"/>
                <w:color w:val="000000"/>
              </w:rPr>
              <w:t>18.06</w:t>
            </w:r>
          </w:p>
        </w:tc>
      </w:tr>
      <w:tr w:rsidR="00263903" w:rsidRPr="00263903" w14:paraId="35BCE4BE" w14:textId="77777777" w:rsidTr="00263903">
        <w:trPr>
          <w:trHeight w:val="300"/>
        </w:trPr>
        <w:tc>
          <w:tcPr>
            <w:tcW w:w="2036" w:type="dxa"/>
            <w:noWrap/>
            <w:hideMark/>
          </w:tcPr>
          <w:p w14:paraId="0DE3CE43" w14:textId="77777777" w:rsidR="00263903" w:rsidRPr="00263903" w:rsidRDefault="00263903" w:rsidP="000B42F7">
            <w:pPr>
              <w:ind w:left="0" w:right="0"/>
              <w:jc w:val="left"/>
              <w:rPr>
                <w:rFonts w:cs="Arial"/>
                <w:color w:val="000000"/>
              </w:rPr>
            </w:pPr>
            <w:r w:rsidRPr="00263903">
              <w:rPr>
                <w:rFonts w:cs="Arial"/>
                <w:color w:val="000000"/>
              </w:rPr>
              <w:t>Net Point Differential Change</w:t>
            </w:r>
          </w:p>
        </w:tc>
        <w:tc>
          <w:tcPr>
            <w:tcW w:w="1700" w:type="dxa"/>
            <w:noWrap/>
            <w:hideMark/>
          </w:tcPr>
          <w:p w14:paraId="776C9696"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1BD9E5D1" w14:textId="77777777" w:rsidR="00263903" w:rsidRPr="00263903" w:rsidRDefault="00263903" w:rsidP="000B42F7">
            <w:pPr>
              <w:ind w:left="0" w:right="0"/>
              <w:jc w:val="right"/>
              <w:rPr>
                <w:rFonts w:cs="Arial"/>
                <w:color w:val="000000"/>
              </w:rPr>
            </w:pPr>
            <w:r w:rsidRPr="00263903">
              <w:rPr>
                <w:rFonts w:cs="Arial"/>
                <w:color w:val="000000"/>
              </w:rPr>
              <w:t>69.93</w:t>
            </w:r>
          </w:p>
        </w:tc>
        <w:tc>
          <w:tcPr>
            <w:tcW w:w="1695" w:type="dxa"/>
            <w:noWrap/>
            <w:hideMark/>
          </w:tcPr>
          <w:p w14:paraId="11523701" w14:textId="77777777" w:rsidR="00263903" w:rsidRPr="00263903" w:rsidRDefault="00263903" w:rsidP="000B42F7">
            <w:pPr>
              <w:ind w:left="0" w:right="0"/>
              <w:jc w:val="right"/>
              <w:rPr>
                <w:rFonts w:cs="Arial"/>
                <w:color w:val="000000"/>
              </w:rPr>
            </w:pPr>
            <w:r w:rsidRPr="00263903">
              <w:rPr>
                <w:rFonts w:cs="Arial"/>
                <w:color w:val="000000"/>
              </w:rPr>
              <w:t>142.34</w:t>
            </w:r>
          </w:p>
        </w:tc>
        <w:tc>
          <w:tcPr>
            <w:tcW w:w="900" w:type="dxa"/>
            <w:noWrap/>
            <w:hideMark/>
          </w:tcPr>
          <w:p w14:paraId="1A14DE0F" w14:textId="77777777" w:rsidR="00263903" w:rsidRPr="00263903" w:rsidRDefault="00263903" w:rsidP="000B42F7">
            <w:pPr>
              <w:ind w:left="0" w:right="0"/>
              <w:jc w:val="right"/>
              <w:rPr>
                <w:rFonts w:cs="Arial"/>
                <w:color w:val="000000"/>
              </w:rPr>
            </w:pPr>
            <w:r w:rsidRPr="00263903">
              <w:rPr>
                <w:rFonts w:cs="Arial"/>
                <w:color w:val="000000"/>
              </w:rPr>
              <w:t>-300.00</w:t>
            </w:r>
          </w:p>
        </w:tc>
        <w:tc>
          <w:tcPr>
            <w:tcW w:w="996" w:type="dxa"/>
            <w:noWrap/>
            <w:hideMark/>
          </w:tcPr>
          <w:p w14:paraId="2D979DDF" w14:textId="77777777" w:rsidR="00263903" w:rsidRPr="00263903" w:rsidRDefault="00263903" w:rsidP="000B42F7">
            <w:pPr>
              <w:ind w:left="0" w:right="0"/>
              <w:jc w:val="right"/>
              <w:rPr>
                <w:rFonts w:cs="Arial"/>
                <w:color w:val="000000"/>
              </w:rPr>
            </w:pPr>
            <w:r w:rsidRPr="00263903">
              <w:rPr>
                <w:rFonts w:cs="Arial"/>
                <w:color w:val="000000"/>
              </w:rPr>
              <w:t>365.00</w:t>
            </w:r>
          </w:p>
        </w:tc>
        <w:tc>
          <w:tcPr>
            <w:tcW w:w="996" w:type="dxa"/>
            <w:noWrap/>
            <w:hideMark/>
          </w:tcPr>
          <w:p w14:paraId="2C90453C" w14:textId="77777777" w:rsidR="00263903" w:rsidRPr="00263903" w:rsidRDefault="00263903" w:rsidP="000B42F7">
            <w:pPr>
              <w:ind w:left="0" w:right="0"/>
              <w:jc w:val="right"/>
              <w:rPr>
                <w:rFonts w:cs="Arial"/>
                <w:color w:val="000000"/>
              </w:rPr>
            </w:pPr>
            <w:r w:rsidRPr="00263903">
              <w:rPr>
                <w:rFonts w:cs="Arial"/>
                <w:color w:val="000000"/>
              </w:rPr>
              <w:t>665.00</w:t>
            </w:r>
          </w:p>
        </w:tc>
      </w:tr>
      <w:tr w:rsidR="00263903" w:rsidRPr="00263903" w14:paraId="48EEED73" w14:textId="77777777" w:rsidTr="00263903">
        <w:trPr>
          <w:trHeight w:val="300"/>
        </w:trPr>
        <w:tc>
          <w:tcPr>
            <w:tcW w:w="2036" w:type="dxa"/>
            <w:noWrap/>
            <w:hideMark/>
          </w:tcPr>
          <w:p w14:paraId="2AA00D9D" w14:textId="77777777" w:rsidR="00263903" w:rsidRPr="00263903" w:rsidRDefault="00263903" w:rsidP="000B42F7">
            <w:pPr>
              <w:ind w:left="0" w:right="0"/>
              <w:jc w:val="left"/>
              <w:rPr>
                <w:rFonts w:cs="Arial"/>
                <w:color w:val="000000"/>
              </w:rPr>
            </w:pPr>
            <w:r w:rsidRPr="00263903">
              <w:rPr>
                <w:rFonts w:cs="Arial"/>
                <w:color w:val="000000"/>
              </w:rPr>
              <w:t>Net Win Percentage Change</w:t>
            </w:r>
          </w:p>
        </w:tc>
        <w:tc>
          <w:tcPr>
            <w:tcW w:w="1700" w:type="dxa"/>
            <w:noWrap/>
            <w:hideMark/>
          </w:tcPr>
          <w:p w14:paraId="5937098A"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2F75D43E" w14:textId="77777777" w:rsidR="00263903" w:rsidRPr="00263903" w:rsidRDefault="00263903" w:rsidP="000B42F7">
            <w:pPr>
              <w:ind w:left="0" w:right="0"/>
              <w:jc w:val="right"/>
              <w:rPr>
                <w:rFonts w:cs="Arial"/>
                <w:color w:val="000000"/>
              </w:rPr>
            </w:pPr>
            <w:r w:rsidRPr="00263903">
              <w:rPr>
                <w:rFonts w:cs="Arial"/>
                <w:color w:val="000000"/>
              </w:rPr>
              <w:t>0.08</w:t>
            </w:r>
          </w:p>
        </w:tc>
        <w:tc>
          <w:tcPr>
            <w:tcW w:w="1695" w:type="dxa"/>
            <w:noWrap/>
            <w:hideMark/>
          </w:tcPr>
          <w:p w14:paraId="565C1195" w14:textId="77777777" w:rsidR="00263903" w:rsidRPr="00263903" w:rsidRDefault="00263903" w:rsidP="000B42F7">
            <w:pPr>
              <w:ind w:left="0" w:right="0"/>
              <w:jc w:val="right"/>
              <w:rPr>
                <w:rFonts w:cs="Arial"/>
                <w:color w:val="000000"/>
              </w:rPr>
            </w:pPr>
            <w:r w:rsidRPr="00263903">
              <w:rPr>
                <w:rFonts w:cs="Arial"/>
                <w:color w:val="000000"/>
              </w:rPr>
              <w:t>0.19</w:t>
            </w:r>
          </w:p>
        </w:tc>
        <w:tc>
          <w:tcPr>
            <w:tcW w:w="900" w:type="dxa"/>
            <w:noWrap/>
            <w:hideMark/>
          </w:tcPr>
          <w:p w14:paraId="251B70C6" w14:textId="77777777" w:rsidR="00263903" w:rsidRPr="00263903" w:rsidRDefault="00263903" w:rsidP="000B42F7">
            <w:pPr>
              <w:ind w:left="0" w:right="0"/>
              <w:jc w:val="right"/>
              <w:rPr>
                <w:rFonts w:cs="Arial"/>
                <w:color w:val="000000"/>
              </w:rPr>
            </w:pPr>
            <w:r w:rsidRPr="00263903">
              <w:rPr>
                <w:rFonts w:cs="Arial"/>
                <w:color w:val="000000"/>
              </w:rPr>
              <w:t>-0.35</w:t>
            </w:r>
          </w:p>
        </w:tc>
        <w:tc>
          <w:tcPr>
            <w:tcW w:w="996" w:type="dxa"/>
            <w:noWrap/>
            <w:hideMark/>
          </w:tcPr>
          <w:p w14:paraId="28C22822" w14:textId="77777777" w:rsidR="00263903" w:rsidRPr="00263903" w:rsidRDefault="00263903" w:rsidP="000B42F7">
            <w:pPr>
              <w:ind w:left="0" w:right="0"/>
              <w:jc w:val="right"/>
              <w:rPr>
                <w:rFonts w:cs="Arial"/>
                <w:color w:val="000000"/>
              </w:rPr>
            </w:pPr>
            <w:r w:rsidRPr="00263903">
              <w:rPr>
                <w:rFonts w:cs="Arial"/>
                <w:color w:val="000000"/>
              </w:rPr>
              <w:t>0.50</w:t>
            </w:r>
          </w:p>
        </w:tc>
        <w:tc>
          <w:tcPr>
            <w:tcW w:w="996" w:type="dxa"/>
            <w:noWrap/>
            <w:hideMark/>
          </w:tcPr>
          <w:p w14:paraId="3B8A6FC7" w14:textId="77777777" w:rsidR="00263903" w:rsidRPr="00263903" w:rsidRDefault="00263903" w:rsidP="000B42F7">
            <w:pPr>
              <w:ind w:left="0" w:right="0"/>
              <w:jc w:val="right"/>
              <w:rPr>
                <w:rFonts w:cs="Arial"/>
                <w:color w:val="000000"/>
              </w:rPr>
            </w:pPr>
            <w:r w:rsidRPr="00263903">
              <w:rPr>
                <w:rFonts w:cs="Arial"/>
                <w:color w:val="000000"/>
              </w:rPr>
              <w:t>0.85</w:t>
            </w:r>
          </w:p>
        </w:tc>
      </w:tr>
      <w:tr w:rsidR="00263903" w:rsidRPr="00263903" w14:paraId="4ECC1085" w14:textId="77777777" w:rsidTr="00263903">
        <w:trPr>
          <w:trHeight w:val="300"/>
        </w:trPr>
        <w:tc>
          <w:tcPr>
            <w:tcW w:w="2036" w:type="dxa"/>
            <w:noWrap/>
            <w:hideMark/>
          </w:tcPr>
          <w:p w14:paraId="11182B8C" w14:textId="77777777" w:rsidR="00263903" w:rsidRPr="00263903" w:rsidRDefault="00263903" w:rsidP="000B42F7">
            <w:pPr>
              <w:ind w:left="0" w:right="0"/>
              <w:jc w:val="left"/>
              <w:rPr>
                <w:rFonts w:cs="Arial"/>
                <w:color w:val="000000"/>
              </w:rPr>
            </w:pPr>
            <w:r w:rsidRPr="00263903">
              <w:rPr>
                <w:rFonts w:cs="Arial"/>
                <w:color w:val="000000"/>
              </w:rPr>
              <w:t>Passing Completion Percentage</w:t>
            </w:r>
          </w:p>
        </w:tc>
        <w:tc>
          <w:tcPr>
            <w:tcW w:w="1700" w:type="dxa"/>
            <w:noWrap/>
            <w:hideMark/>
          </w:tcPr>
          <w:p w14:paraId="674B5A5F"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50D6D769" w14:textId="77777777" w:rsidR="00263903" w:rsidRPr="00263903" w:rsidRDefault="00263903" w:rsidP="000B42F7">
            <w:pPr>
              <w:ind w:left="0" w:right="0"/>
              <w:jc w:val="right"/>
              <w:rPr>
                <w:rFonts w:cs="Arial"/>
                <w:color w:val="000000"/>
              </w:rPr>
            </w:pPr>
            <w:r w:rsidRPr="00263903">
              <w:rPr>
                <w:rFonts w:cs="Arial"/>
                <w:color w:val="000000"/>
              </w:rPr>
              <w:t>0.60</w:t>
            </w:r>
          </w:p>
        </w:tc>
        <w:tc>
          <w:tcPr>
            <w:tcW w:w="1695" w:type="dxa"/>
            <w:noWrap/>
            <w:hideMark/>
          </w:tcPr>
          <w:p w14:paraId="5D12BC5F" w14:textId="77777777" w:rsidR="00263903" w:rsidRPr="00263903" w:rsidRDefault="00263903" w:rsidP="000B42F7">
            <w:pPr>
              <w:ind w:left="0" w:right="0"/>
              <w:jc w:val="right"/>
              <w:rPr>
                <w:rFonts w:cs="Arial"/>
                <w:color w:val="000000"/>
              </w:rPr>
            </w:pPr>
            <w:r w:rsidRPr="00263903">
              <w:rPr>
                <w:rFonts w:cs="Arial"/>
                <w:color w:val="000000"/>
              </w:rPr>
              <w:t>0.03</w:t>
            </w:r>
          </w:p>
        </w:tc>
        <w:tc>
          <w:tcPr>
            <w:tcW w:w="900" w:type="dxa"/>
            <w:noWrap/>
            <w:hideMark/>
          </w:tcPr>
          <w:p w14:paraId="32D17190" w14:textId="77777777" w:rsidR="00263903" w:rsidRPr="00263903" w:rsidRDefault="00263903" w:rsidP="000B42F7">
            <w:pPr>
              <w:ind w:left="0" w:right="0"/>
              <w:jc w:val="right"/>
              <w:rPr>
                <w:rFonts w:cs="Arial"/>
                <w:color w:val="000000"/>
              </w:rPr>
            </w:pPr>
            <w:r w:rsidRPr="00263903">
              <w:rPr>
                <w:rFonts w:cs="Arial"/>
                <w:color w:val="000000"/>
              </w:rPr>
              <w:t>0.53</w:t>
            </w:r>
          </w:p>
        </w:tc>
        <w:tc>
          <w:tcPr>
            <w:tcW w:w="996" w:type="dxa"/>
            <w:noWrap/>
            <w:hideMark/>
          </w:tcPr>
          <w:p w14:paraId="27FE6E1E" w14:textId="77777777" w:rsidR="00263903" w:rsidRPr="00263903" w:rsidRDefault="00263903" w:rsidP="000B42F7">
            <w:pPr>
              <w:ind w:left="0" w:right="0"/>
              <w:jc w:val="right"/>
              <w:rPr>
                <w:rFonts w:cs="Arial"/>
                <w:color w:val="000000"/>
              </w:rPr>
            </w:pPr>
            <w:r w:rsidRPr="00263903">
              <w:rPr>
                <w:rFonts w:cs="Arial"/>
                <w:color w:val="000000"/>
              </w:rPr>
              <w:t>0.67</w:t>
            </w:r>
          </w:p>
        </w:tc>
        <w:tc>
          <w:tcPr>
            <w:tcW w:w="996" w:type="dxa"/>
            <w:noWrap/>
            <w:hideMark/>
          </w:tcPr>
          <w:p w14:paraId="66D32F57" w14:textId="77777777" w:rsidR="00263903" w:rsidRPr="00263903" w:rsidRDefault="00263903" w:rsidP="000B42F7">
            <w:pPr>
              <w:ind w:left="0" w:right="0"/>
              <w:jc w:val="right"/>
              <w:rPr>
                <w:rFonts w:cs="Arial"/>
                <w:color w:val="000000"/>
              </w:rPr>
            </w:pPr>
            <w:r w:rsidRPr="00263903">
              <w:rPr>
                <w:rFonts w:cs="Arial"/>
                <w:color w:val="000000"/>
              </w:rPr>
              <w:t>0.14</w:t>
            </w:r>
          </w:p>
        </w:tc>
      </w:tr>
      <w:tr w:rsidR="00263903" w:rsidRPr="00263903" w14:paraId="2E2E33A3" w14:textId="77777777" w:rsidTr="00263903">
        <w:trPr>
          <w:trHeight w:val="300"/>
        </w:trPr>
        <w:tc>
          <w:tcPr>
            <w:tcW w:w="2036" w:type="dxa"/>
            <w:noWrap/>
            <w:hideMark/>
          </w:tcPr>
          <w:p w14:paraId="05A29816" w14:textId="77777777" w:rsidR="00263903" w:rsidRPr="00263903" w:rsidRDefault="00263903" w:rsidP="000B42F7">
            <w:pPr>
              <w:ind w:left="0" w:right="0"/>
              <w:jc w:val="left"/>
              <w:rPr>
                <w:rFonts w:cs="Arial"/>
                <w:color w:val="000000"/>
              </w:rPr>
            </w:pPr>
            <w:r w:rsidRPr="00263903">
              <w:rPr>
                <w:rFonts w:cs="Arial"/>
                <w:color w:val="000000"/>
              </w:rPr>
              <w:t>Passing Yards Per Attempt</w:t>
            </w:r>
          </w:p>
        </w:tc>
        <w:tc>
          <w:tcPr>
            <w:tcW w:w="1700" w:type="dxa"/>
            <w:noWrap/>
            <w:hideMark/>
          </w:tcPr>
          <w:p w14:paraId="49B12855"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2C652264" w14:textId="77777777" w:rsidR="00263903" w:rsidRPr="00263903" w:rsidRDefault="00263903" w:rsidP="000B42F7">
            <w:pPr>
              <w:ind w:left="0" w:right="0"/>
              <w:jc w:val="right"/>
              <w:rPr>
                <w:rFonts w:cs="Arial"/>
                <w:color w:val="000000"/>
              </w:rPr>
            </w:pPr>
            <w:r w:rsidRPr="00263903">
              <w:rPr>
                <w:rFonts w:cs="Arial"/>
                <w:color w:val="000000"/>
              </w:rPr>
              <w:t>6.96</w:t>
            </w:r>
          </w:p>
        </w:tc>
        <w:tc>
          <w:tcPr>
            <w:tcW w:w="1695" w:type="dxa"/>
            <w:noWrap/>
            <w:hideMark/>
          </w:tcPr>
          <w:p w14:paraId="3EE5242E" w14:textId="77777777" w:rsidR="00263903" w:rsidRPr="00263903" w:rsidRDefault="00263903" w:rsidP="000B42F7">
            <w:pPr>
              <w:ind w:left="0" w:right="0"/>
              <w:jc w:val="right"/>
              <w:rPr>
                <w:rFonts w:cs="Arial"/>
                <w:color w:val="000000"/>
              </w:rPr>
            </w:pPr>
            <w:r w:rsidRPr="00263903">
              <w:rPr>
                <w:rFonts w:cs="Arial"/>
                <w:color w:val="000000"/>
              </w:rPr>
              <w:t>0.68</w:t>
            </w:r>
          </w:p>
        </w:tc>
        <w:tc>
          <w:tcPr>
            <w:tcW w:w="900" w:type="dxa"/>
            <w:noWrap/>
            <w:hideMark/>
          </w:tcPr>
          <w:p w14:paraId="77A9C7FB" w14:textId="77777777" w:rsidR="00263903" w:rsidRPr="00263903" w:rsidRDefault="00263903" w:rsidP="000B42F7">
            <w:pPr>
              <w:ind w:left="0" w:right="0"/>
              <w:jc w:val="right"/>
              <w:rPr>
                <w:rFonts w:cs="Arial"/>
                <w:color w:val="000000"/>
              </w:rPr>
            </w:pPr>
            <w:r w:rsidRPr="00263903">
              <w:rPr>
                <w:rFonts w:cs="Arial"/>
                <w:color w:val="000000"/>
              </w:rPr>
              <w:t>5.54</w:t>
            </w:r>
          </w:p>
        </w:tc>
        <w:tc>
          <w:tcPr>
            <w:tcW w:w="996" w:type="dxa"/>
            <w:noWrap/>
            <w:hideMark/>
          </w:tcPr>
          <w:p w14:paraId="4769EF21" w14:textId="77777777" w:rsidR="00263903" w:rsidRPr="00263903" w:rsidRDefault="00263903" w:rsidP="000B42F7">
            <w:pPr>
              <w:ind w:left="0" w:right="0"/>
              <w:jc w:val="right"/>
              <w:rPr>
                <w:rFonts w:cs="Arial"/>
                <w:color w:val="000000"/>
              </w:rPr>
            </w:pPr>
            <w:r w:rsidRPr="00263903">
              <w:rPr>
                <w:rFonts w:cs="Arial"/>
                <w:color w:val="000000"/>
              </w:rPr>
              <w:t>8.79</w:t>
            </w:r>
          </w:p>
        </w:tc>
        <w:tc>
          <w:tcPr>
            <w:tcW w:w="996" w:type="dxa"/>
            <w:noWrap/>
            <w:hideMark/>
          </w:tcPr>
          <w:p w14:paraId="4607A412" w14:textId="77777777" w:rsidR="00263903" w:rsidRPr="00263903" w:rsidRDefault="00263903" w:rsidP="000B42F7">
            <w:pPr>
              <w:ind w:left="0" w:right="0"/>
              <w:jc w:val="right"/>
              <w:rPr>
                <w:rFonts w:cs="Arial"/>
                <w:color w:val="000000"/>
              </w:rPr>
            </w:pPr>
            <w:r w:rsidRPr="00263903">
              <w:rPr>
                <w:rFonts w:cs="Arial"/>
                <w:color w:val="000000"/>
              </w:rPr>
              <w:t>3.25</w:t>
            </w:r>
          </w:p>
        </w:tc>
      </w:tr>
      <w:tr w:rsidR="00263903" w:rsidRPr="00263903" w14:paraId="5A5AAB78" w14:textId="77777777" w:rsidTr="00263903">
        <w:trPr>
          <w:trHeight w:val="300"/>
        </w:trPr>
        <w:tc>
          <w:tcPr>
            <w:tcW w:w="2036" w:type="dxa"/>
            <w:noWrap/>
            <w:hideMark/>
          </w:tcPr>
          <w:p w14:paraId="3D7FB9AD" w14:textId="77777777" w:rsidR="00263903" w:rsidRPr="00263903" w:rsidRDefault="00263903" w:rsidP="000B42F7">
            <w:pPr>
              <w:ind w:left="0" w:right="0"/>
              <w:jc w:val="left"/>
              <w:rPr>
                <w:rFonts w:cs="Arial"/>
                <w:color w:val="000000"/>
              </w:rPr>
            </w:pPr>
            <w:r w:rsidRPr="00263903">
              <w:rPr>
                <w:rFonts w:cs="Arial"/>
                <w:color w:val="000000"/>
              </w:rPr>
              <w:t>Primary Passing Tds Per Game</w:t>
            </w:r>
          </w:p>
        </w:tc>
        <w:tc>
          <w:tcPr>
            <w:tcW w:w="1700" w:type="dxa"/>
            <w:noWrap/>
            <w:hideMark/>
          </w:tcPr>
          <w:p w14:paraId="6802E3EF"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51EF299B" w14:textId="77777777" w:rsidR="00263903" w:rsidRPr="00263903" w:rsidRDefault="00263903" w:rsidP="000B42F7">
            <w:pPr>
              <w:ind w:left="0" w:right="0"/>
              <w:jc w:val="right"/>
              <w:rPr>
                <w:rFonts w:cs="Arial"/>
                <w:color w:val="000000"/>
              </w:rPr>
            </w:pPr>
            <w:r w:rsidRPr="00263903">
              <w:rPr>
                <w:rFonts w:cs="Arial"/>
                <w:color w:val="000000"/>
              </w:rPr>
              <w:t>1.33</w:t>
            </w:r>
          </w:p>
        </w:tc>
        <w:tc>
          <w:tcPr>
            <w:tcW w:w="1695" w:type="dxa"/>
            <w:noWrap/>
            <w:hideMark/>
          </w:tcPr>
          <w:p w14:paraId="5F1BFAB8" w14:textId="77777777" w:rsidR="00263903" w:rsidRPr="00263903" w:rsidRDefault="00263903" w:rsidP="000B42F7">
            <w:pPr>
              <w:ind w:left="0" w:right="0"/>
              <w:jc w:val="right"/>
              <w:rPr>
                <w:rFonts w:cs="Arial"/>
                <w:color w:val="000000"/>
              </w:rPr>
            </w:pPr>
            <w:r w:rsidRPr="00263903">
              <w:rPr>
                <w:rFonts w:cs="Arial"/>
                <w:color w:val="000000"/>
              </w:rPr>
              <w:t>0.35</w:t>
            </w:r>
          </w:p>
        </w:tc>
        <w:tc>
          <w:tcPr>
            <w:tcW w:w="900" w:type="dxa"/>
            <w:noWrap/>
            <w:hideMark/>
          </w:tcPr>
          <w:p w14:paraId="4F6E55C3" w14:textId="77777777" w:rsidR="00263903" w:rsidRPr="00263903" w:rsidRDefault="00263903" w:rsidP="000B42F7">
            <w:pPr>
              <w:ind w:left="0" w:right="0"/>
              <w:jc w:val="right"/>
              <w:rPr>
                <w:rFonts w:cs="Arial"/>
                <w:color w:val="000000"/>
              </w:rPr>
            </w:pPr>
            <w:r w:rsidRPr="00263903">
              <w:rPr>
                <w:rFonts w:cs="Arial"/>
                <w:color w:val="000000"/>
              </w:rPr>
              <w:t>0.65</w:t>
            </w:r>
          </w:p>
        </w:tc>
        <w:tc>
          <w:tcPr>
            <w:tcW w:w="996" w:type="dxa"/>
            <w:noWrap/>
            <w:hideMark/>
          </w:tcPr>
          <w:p w14:paraId="56DCE96A" w14:textId="77777777" w:rsidR="00263903" w:rsidRPr="00263903" w:rsidRDefault="00263903" w:rsidP="000B42F7">
            <w:pPr>
              <w:ind w:left="0" w:right="0"/>
              <w:jc w:val="right"/>
              <w:rPr>
                <w:rFonts w:cs="Arial"/>
                <w:color w:val="000000"/>
              </w:rPr>
            </w:pPr>
            <w:r w:rsidRPr="00263903">
              <w:rPr>
                <w:rFonts w:cs="Arial"/>
                <w:color w:val="000000"/>
              </w:rPr>
              <w:t>2.69</w:t>
            </w:r>
          </w:p>
        </w:tc>
        <w:tc>
          <w:tcPr>
            <w:tcW w:w="996" w:type="dxa"/>
            <w:noWrap/>
            <w:hideMark/>
          </w:tcPr>
          <w:p w14:paraId="73F35D99" w14:textId="77777777" w:rsidR="00263903" w:rsidRPr="00263903" w:rsidRDefault="00263903" w:rsidP="000B42F7">
            <w:pPr>
              <w:ind w:left="0" w:right="0"/>
              <w:jc w:val="right"/>
              <w:rPr>
                <w:rFonts w:cs="Arial"/>
                <w:color w:val="000000"/>
              </w:rPr>
            </w:pPr>
            <w:r w:rsidRPr="00263903">
              <w:rPr>
                <w:rFonts w:cs="Arial"/>
                <w:color w:val="000000"/>
              </w:rPr>
              <w:t>2.04</w:t>
            </w:r>
          </w:p>
        </w:tc>
      </w:tr>
      <w:tr w:rsidR="00263903" w:rsidRPr="00263903" w14:paraId="09A8DC87" w14:textId="77777777" w:rsidTr="00263903">
        <w:trPr>
          <w:trHeight w:val="300"/>
        </w:trPr>
        <w:tc>
          <w:tcPr>
            <w:tcW w:w="2036" w:type="dxa"/>
            <w:noWrap/>
            <w:hideMark/>
          </w:tcPr>
          <w:p w14:paraId="63710238" w14:textId="77777777" w:rsidR="00263903" w:rsidRPr="00263903" w:rsidRDefault="00263903" w:rsidP="000B42F7">
            <w:pPr>
              <w:ind w:left="0" w:right="0"/>
              <w:jc w:val="left"/>
              <w:rPr>
                <w:rFonts w:cs="Arial"/>
                <w:color w:val="000000"/>
              </w:rPr>
            </w:pPr>
            <w:r w:rsidRPr="00263903">
              <w:rPr>
                <w:rFonts w:cs="Arial"/>
                <w:color w:val="000000"/>
              </w:rPr>
              <w:t>Primary Rushing Tds Per Game</w:t>
            </w:r>
          </w:p>
        </w:tc>
        <w:tc>
          <w:tcPr>
            <w:tcW w:w="1700" w:type="dxa"/>
            <w:noWrap/>
            <w:hideMark/>
          </w:tcPr>
          <w:p w14:paraId="016F0034"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1A6786E9" w14:textId="77777777" w:rsidR="00263903" w:rsidRPr="00263903" w:rsidRDefault="00263903" w:rsidP="000B42F7">
            <w:pPr>
              <w:ind w:left="0" w:right="0"/>
              <w:jc w:val="right"/>
              <w:rPr>
                <w:rFonts w:cs="Arial"/>
                <w:color w:val="000000"/>
              </w:rPr>
            </w:pPr>
            <w:r w:rsidRPr="00263903">
              <w:rPr>
                <w:rFonts w:cs="Arial"/>
                <w:color w:val="000000"/>
              </w:rPr>
              <w:t>0.15</w:t>
            </w:r>
          </w:p>
        </w:tc>
        <w:tc>
          <w:tcPr>
            <w:tcW w:w="1695" w:type="dxa"/>
            <w:noWrap/>
            <w:hideMark/>
          </w:tcPr>
          <w:p w14:paraId="10AF5F15" w14:textId="77777777" w:rsidR="00263903" w:rsidRPr="00263903" w:rsidRDefault="00263903" w:rsidP="000B42F7">
            <w:pPr>
              <w:ind w:left="0" w:right="0"/>
              <w:jc w:val="right"/>
              <w:rPr>
                <w:rFonts w:cs="Arial"/>
                <w:color w:val="000000"/>
              </w:rPr>
            </w:pPr>
            <w:r w:rsidRPr="00263903">
              <w:rPr>
                <w:rFonts w:cs="Arial"/>
                <w:color w:val="000000"/>
              </w:rPr>
              <w:t>0.15</w:t>
            </w:r>
          </w:p>
        </w:tc>
        <w:tc>
          <w:tcPr>
            <w:tcW w:w="900" w:type="dxa"/>
            <w:noWrap/>
            <w:hideMark/>
          </w:tcPr>
          <w:p w14:paraId="32DF5DB7" w14:textId="77777777" w:rsidR="00263903" w:rsidRPr="00263903" w:rsidRDefault="00263903" w:rsidP="000B42F7">
            <w:pPr>
              <w:ind w:left="0" w:right="0"/>
              <w:jc w:val="right"/>
              <w:rPr>
                <w:rFonts w:cs="Arial"/>
                <w:color w:val="000000"/>
              </w:rPr>
            </w:pPr>
            <w:r w:rsidRPr="00263903">
              <w:rPr>
                <w:rFonts w:cs="Arial"/>
                <w:color w:val="000000"/>
              </w:rPr>
              <w:t>0.00</w:t>
            </w:r>
          </w:p>
        </w:tc>
        <w:tc>
          <w:tcPr>
            <w:tcW w:w="996" w:type="dxa"/>
            <w:noWrap/>
            <w:hideMark/>
          </w:tcPr>
          <w:p w14:paraId="3E1B16B3" w14:textId="77777777" w:rsidR="00263903" w:rsidRPr="00263903" w:rsidRDefault="00263903" w:rsidP="000B42F7">
            <w:pPr>
              <w:ind w:left="0" w:right="0"/>
              <w:jc w:val="right"/>
              <w:rPr>
                <w:rFonts w:cs="Arial"/>
                <w:color w:val="000000"/>
              </w:rPr>
            </w:pPr>
            <w:r w:rsidRPr="00263903">
              <w:rPr>
                <w:rFonts w:cs="Arial"/>
                <w:color w:val="000000"/>
              </w:rPr>
              <w:t>0.73</w:t>
            </w:r>
          </w:p>
        </w:tc>
        <w:tc>
          <w:tcPr>
            <w:tcW w:w="996" w:type="dxa"/>
            <w:noWrap/>
            <w:hideMark/>
          </w:tcPr>
          <w:p w14:paraId="3042B1B9" w14:textId="77777777" w:rsidR="00263903" w:rsidRPr="00263903" w:rsidRDefault="00263903" w:rsidP="000B42F7">
            <w:pPr>
              <w:ind w:left="0" w:right="0"/>
              <w:jc w:val="right"/>
              <w:rPr>
                <w:rFonts w:cs="Arial"/>
                <w:color w:val="000000"/>
              </w:rPr>
            </w:pPr>
            <w:r w:rsidRPr="00263903">
              <w:rPr>
                <w:rFonts w:cs="Arial"/>
                <w:color w:val="000000"/>
              </w:rPr>
              <w:t>0.73</w:t>
            </w:r>
          </w:p>
        </w:tc>
      </w:tr>
      <w:tr w:rsidR="00263903" w:rsidRPr="00263903" w14:paraId="5D679B79" w14:textId="77777777" w:rsidTr="00263903">
        <w:trPr>
          <w:trHeight w:val="300"/>
        </w:trPr>
        <w:tc>
          <w:tcPr>
            <w:tcW w:w="2036" w:type="dxa"/>
            <w:noWrap/>
            <w:hideMark/>
          </w:tcPr>
          <w:p w14:paraId="2E20E41C" w14:textId="77777777" w:rsidR="00263903" w:rsidRPr="00263903" w:rsidRDefault="00263903" w:rsidP="000B42F7">
            <w:pPr>
              <w:ind w:left="0" w:right="0"/>
              <w:jc w:val="left"/>
              <w:rPr>
                <w:rFonts w:cs="Arial"/>
                <w:color w:val="000000"/>
              </w:rPr>
            </w:pPr>
            <w:r w:rsidRPr="00263903">
              <w:rPr>
                <w:rFonts w:cs="Arial"/>
                <w:color w:val="000000"/>
              </w:rPr>
              <w:t>Rushing Yards Per Attempt</w:t>
            </w:r>
          </w:p>
        </w:tc>
        <w:tc>
          <w:tcPr>
            <w:tcW w:w="1700" w:type="dxa"/>
            <w:noWrap/>
            <w:hideMark/>
          </w:tcPr>
          <w:p w14:paraId="3EDBE16F"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1464424F" w14:textId="77777777" w:rsidR="00263903" w:rsidRPr="00263903" w:rsidRDefault="00263903" w:rsidP="000B42F7">
            <w:pPr>
              <w:ind w:left="0" w:right="0"/>
              <w:jc w:val="right"/>
              <w:rPr>
                <w:rFonts w:cs="Arial"/>
                <w:color w:val="000000"/>
              </w:rPr>
            </w:pPr>
            <w:r w:rsidRPr="00263903">
              <w:rPr>
                <w:rFonts w:cs="Arial"/>
                <w:color w:val="000000"/>
              </w:rPr>
              <w:t>3.96</w:t>
            </w:r>
          </w:p>
        </w:tc>
        <w:tc>
          <w:tcPr>
            <w:tcW w:w="1695" w:type="dxa"/>
            <w:noWrap/>
            <w:hideMark/>
          </w:tcPr>
          <w:p w14:paraId="65508226" w14:textId="77777777" w:rsidR="00263903" w:rsidRPr="00263903" w:rsidRDefault="00263903" w:rsidP="000B42F7">
            <w:pPr>
              <w:ind w:left="0" w:right="0"/>
              <w:jc w:val="right"/>
              <w:rPr>
                <w:rFonts w:cs="Arial"/>
                <w:color w:val="000000"/>
              </w:rPr>
            </w:pPr>
            <w:r w:rsidRPr="00263903">
              <w:rPr>
                <w:rFonts w:cs="Arial"/>
                <w:color w:val="000000"/>
              </w:rPr>
              <w:t>1.57</w:t>
            </w:r>
          </w:p>
        </w:tc>
        <w:tc>
          <w:tcPr>
            <w:tcW w:w="900" w:type="dxa"/>
            <w:noWrap/>
            <w:hideMark/>
          </w:tcPr>
          <w:p w14:paraId="5C9DE783" w14:textId="77777777" w:rsidR="00263903" w:rsidRPr="00263903" w:rsidRDefault="00263903" w:rsidP="000B42F7">
            <w:pPr>
              <w:ind w:left="0" w:right="0"/>
              <w:jc w:val="right"/>
              <w:rPr>
                <w:rFonts w:cs="Arial"/>
                <w:color w:val="000000"/>
              </w:rPr>
            </w:pPr>
            <w:r w:rsidRPr="00263903">
              <w:rPr>
                <w:rFonts w:cs="Arial"/>
                <w:color w:val="000000"/>
              </w:rPr>
              <w:t>1.00</w:t>
            </w:r>
          </w:p>
        </w:tc>
        <w:tc>
          <w:tcPr>
            <w:tcW w:w="996" w:type="dxa"/>
            <w:noWrap/>
            <w:hideMark/>
          </w:tcPr>
          <w:p w14:paraId="30C76229" w14:textId="77777777" w:rsidR="00263903" w:rsidRPr="00263903" w:rsidRDefault="00263903" w:rsidP="000B42F7">
            <w:pPr>
              <w:ind w:left="0" w:right="0"/>
              <w:jc w:val="right"/>
              <w:rPr>
                <w:rFonts w:cs="Arial"/>
                <w:color w:val="000000"/>
              </w:rPr>
            </w:pPr>
            <w:r w:rsidRPr="00263903">
              <w:rPr>
                <w:rFonts w:cs="Arial"/>
                <w:color w:val="000000"/>
              </w:rPr>
              <w:t>6.98</w:t>
            </w:r>
          </w:p>
        </w:tc>
        <w:tc>
          <w:tcPr>
            <w:tcW w:w="996" w:type="dxa"/>
            <w:noWrap/>
            <w:hideMark/>
          </w:tcPr>
          <w:p w14:paraId="6C0D8301" w14:textId="77777777" w:rsidR="00263903" w:rsidRPr="00263903" w:rsidRDefault="00263903" w:rsidP="000B42F7">
            <w:pPr>
              <w:ind w:left="0" w:right="0"/>
              <w:jc w:val="right"/>
              <w:rPr>
                <w:rFonts w:cs="Arial"/>
                <w:color w:val="000000"/>
              </w:rPr>
            </w:pPr>
            <w:r w:rsidRPr="00263903">
              <w:rPr>
                <w:rFonts w:cs="Arial"/>
                <w:color w:val="000000"/>
              </w:rPr>
              <w:t>5.98</w:t>
            </w:r>
          </w:p>
        </w:tc>
      </w:tr>
      <w:tr w:rsidR="00263903" w:rsidRPr="00263903" w14:paraId="5D87F211" w14:textId="77777777" w:rsidTr="00263903">
        <w:trPr>
          <w:trHeight w:val="300"/>
        </w:trPr>
        <w:tc>
          <w:tcPr>
            <w:tcW w:w="2036" w:type="dxa"/>
            <w:noWrap/>
            <w:hideMark/>
          </w:tcPr>
          <w:p w14:paraId="6AC45030" w14:textId="77777777" w:rsidR="00263903" w:rsidRPr="00263903" w:rsidRDefault="00263903" w:rsidP="000B42F7">
            <w:pPr>
              <w:ind w:left="0" w:right="0"/>
              <w:jc w:val="left"/>
              <w:rPr>
                <w:rFonts w:cs="Arial"/>
                <w:color w:val="000000"/>
              </w:rPr>
            </w:pPr>
            <w:r w:rsidRPr="00263903">
              <w:rPr>
                <w:rFonts w:cs="Arial"/>
                <w:color w:val="000000"/>
              </w:rPr>
              <w:t>Sacks Per Play</w:t>
            </w:r>
          </w:p>
        </w:tc>
        <w:tc>
          <w:tcPr>
            <w:tcW w:w="1700" w:type="dxa"/>
            <w:noWrap/>
            <w:hideMark/>
          </w:tcPr>
          <w:p w14:paraId="08453C79"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632DAB2C" w14:textId="77777777" w:rsidR="00263903" w:rsidRPr="00263903" w:rsidRDefault="00263903" w:rsidP="000B42F7">
            <w:pPr>
              <w:ind w:left="0" w:right="0"/>
              <w:jc w:val="right"/>
              <w:rPr>
                <w:rFonts w:cs="Arial"/>
                <w:color w:val="000000"/>
              </w:rPr>
            </w:pPr>
            <w:r w:rsidRPr="00263903">
              <w:rPr>
                <w:rFonts w:cs="Arial"/>
                <w:color w:val="000000"/>
              </w:rPr>
              <w:t>0.06</w:t>
            </w:r>
          </w:p>
        </w:tc>
        <w:tc>
          <w:tcPr>
            <w:tcW w:w="1695" w:type="dxa"/>
            <w:noWrap/>
            <w:hideMark/>
          </w:tcPr>
          <w:p w14:paraId="6A0CA02E" w14:textId="77777777" w:rsidR="00263903" w:rsidRPr="00263903" w:rsidRDefault="00263903" w:rsidP="000B42F7">
            <w:pPr>
              <w:ind w:left="0" w:right="0"/>
              <w:jc w:val="right"/>
              <w:rPr>
                <w:rFonts w:cs="Arial"/>
                <w:color w:val="000000"/>
              </w:rPr>
            </w:pPr>
            <w:r w:rsidRPr="00263903">
              <w:rPr>
                <w:rFonts w:cs="Arial"/>
                <w:color w:val="000000"/>
              </w:rPr>
              <w:t>0.02</w:t>
            </w:r>
          </w:p>
        </w:tc>
        <w:tc>
          <w:tcPr>
            <w:tcW w:w="900" w:type="dxa"/>
            <w:noWrap/>
            <w:hideMark/>
          </w:tcPr>
          <w:p w14:paraId="016A05D1" w14:textId="77777777" w:rsidR="00263903" w:rsidRPr="00263903" w:rsidRDefault="00263903" w:rsidP="000B42F7">
            <w:pPr>
              <w:ind w:left="0" w:right="0"/>
              <w:jc w:val="right"/>
              <w:rPr>
                <w:rFonts w:cs="Arial"/>
                <w:color w:val="000000"/>
              </w:rPr>
            </w:pPr>
            <w:r w:rsidRPr="00263903">
              <w:rPr>
                <w:rFonts w:cs="Arial"/>
                <w:color w:val="000000"/>
              </w:rPr>
              <w:t>0.04</w:t>
            </w:r>
          </w:p>
        </w:tc>
        <w:tc>
          <w:tcPr>
            <w:tcW w:w="996" w:type="dxa"/>
            <w:noWrap/>
            <w:hideMark/>
          </w:tcPr>
          <w:p w14:paraId="5B6DD520" w14:textId="77777777" w:rsidR="00263903" w:rsidRPr="00263903" w:rsidRDefault="00263903" w:rsidP="000B42F7">
            <w:pPr>
              <w:ind w:left="0" w:right="0"/>
              <w:jc w:val="right"/>
              <w:rPr>
                <w:rFonts w:cs="Arial"/>
                <w:color w:val="000000"/>
              </w:rPr>
            </w:pPr>
            <w:r w:rsidRPr="00263903">
              <w:rPr>
                <w:rFonts w:cs="Arial"/>
                <w:color w:val="000000"/>
              </w:rPr>
              <w:t>0.11</w:t>
            </w:r>
          </w:p>
        </w:tc>
        <w:tc>
          <w:tcPr>
            <w:tcW w:w="996" w:type="dxa"/>
            <w:noWrap/>
            <w:hideMark/>
          </w:tcPr>
          <w:p w14:paraId="1F96214B" w14:textId="77777777" w:rsidR="00263903" w:rsidRPr="00263903" w:rsidRDefault="00263903" w:rsidP="000B42F7">
            <w:pPr>
              <w:ind w:left="0" w:right="0"/>
              <w:jc w:val="right"/>
              <w:rPr>
                <w:rFonts w:cs="Arial"/>
                <w:color w:val="000000"/>
              </w:rPr>
            </w:pPr>
            <w:r w:rsidRPr="00263903">
              <w:rPr>
                <w:rFonts w:cs="Arial"/>
                <w:color w:val="000000"/>
              </w:rPr>
              <w:t>0.07</w:t>
            </w:r>
          </w:p>
        </w:tc>
      </w:tr>
      <w:tr w:rsidR="00263903" w:rsidRPr="00263903" w14:paraId="02786E0D" w14:textId="77777777" w:rsidTr="00263903">
        <w:trPr>
          <w:trHeight w:val="300"/>
        </w:trPr>
        <w:tc>
          <w:tcPr>
            <w:tcW w:w="2036" w:type="dxa"/>
            <w:noWrap/>
            <w:hideMark/>
          </w:tcPr>
          <w:p w14:paraId="435E5C61" w14:textId="77777777" w:rsidR="00263903" w:rsidRPr="00263903" w:rsidRDefault="00263903" w:rsidP="000B42F7">
            <w:pPr>
              <w:ind w:left="0" w:right="0"/>
              <w:jc w:val="left"/>
              <w:rPr>
                <w:rFonts w:cs="Arial"/>
                <w:color w:val="000000"/>
              </w:rPr>
            </w:pPr>
            <w:r w:rsidRPr="00263903">
              <w:rPr>
                <w:rFonts w:cs="Arial"/>
                <w:color w:val="000000"/>
              </w:rPr>
              <w:t>Turnovers Per Attempt</w:t>
            </w:r>
          </w:p>
        </w:tc>
        <w:tc>
          <w:tcPr>
            <w:tcW w:w="1700" w:type="dxa"/>
            <w:noWrap/>
            <w:hideMark/>
          </w:tcPr>
          <w:p w14:paraId="160AC5CA"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365293FA" w14:textId="77777777" w:rsidR="00263903" w:rsidRPr="00263903" w:rsidRDefault="00263903" w:rsidP="000B42F7">
            <w:pPr>
              <w:ind w:left="0" w:right="0"/>
              <w:jc w:val="right"/>
              <w:rPr>
                <w:rFonts w:cs="Arial"/>
                <w:color w:val="000000"/>
              </w:rPr>
            </w:pPr>
            <w:r w:rsidRPr="00263903">
              <w:rPr>
                <w:rFonts w:cs="Arial"/>
                <w:color w:val="000000"/>
              </w:rPr>
              <w:t>0.03</w:t>
            </w:r>
          </w:p>
        </w:tc>
        <w:tc>
          <w:tcPr>
            <w:tcW w:w="1695" w:type="dxa"/>
            <w:noWrap/>
            <w:hideMark/>
          </w:tcPr>
          <w:p w14:paraId="19039D23" w14:textId="77777777" w:rsidR="00263903" w:rsidRPr="00263903" w:rsidRDefault="00263903" w:rsidP="000B42F7">
            <w:pPr>
              <w:ind w:left="0" w:right="0"/>
              <w:jc w:val="right"/>
              <w:rPr>
                <w:rFonts w:cs="Arial"/>
                <w:color w:val="000000"/>
              </w:rPr>
            </w:pPr>
            <w:r w:rsidRPr="00263903">
              <w:rPr>
                <w:rFonts w:cs="Arial"/>
                <w:color w:val="000000"/>
              </w:rPr>
              <w:t>0.01</w:t>
            </w:r>
          </w:p>
        </w:tc>
        <w:tc>
          <w:tcPr>
            <w:tcW w:w="900" w:type="dxa"/>
            <w:noWrap/>
            <w:hideMark/>
          </w:tcPr>
          <w:p w14:paraId="3AB00DD9" w14:textId="77777777" w:rsidR="00263903" w:rsidRPr="00263903" w:rsidRDefault="00263903" w:rsidP="000B42F7">
            <w:pPr>
              <w:ind w:left="0" w:right="0"/>
              <w:jc w:val="right"/>
              <w:rPr>
                <w:rFonts w:cs="Arial"/>
                <w:color w:val="000000"/>
              </w:rPr>
            </w:pPr>
            <w:r w:rsidRPr="00263903">
              <w:rPr>
                <w:rFonts w:cs="Arial"/>
                <w:color w:val="000000"/>
              </w:rPr>
              <w:t>0.01</w:t>
            </w:r>
          </w:p>
        </w:tc>
        <w:tc>
          <w:tcPr>
            <w:tcW w:w="996" w:type="dxa"/>
            <w:noWrap/>
            <w:hideMark/>
          </w:tcPr>
          <w:p w14:paraId="0F101846" w14:textId="77777777" w:rsidR="00263903" w:rsidRPr="00263903" w:rsidRDefault="00263903" w:rsidP="000B42F7">
            <w:pPr>
              <w:ind w:left="0" w:right="0"/>
              <w:jc w:val="right"/>
              <w:rPr>
                <w:rFonts w:cs="Arial"/>
                <w:color w:val="000000"/>
              </w:rPr>
            </w:pPr>
            <w:r w:rsidRPr="00263903">
              <w:rPr>
                <w:rFonts w:cs="Arial"/>
                <w:color w:val="000000"/>
              </w:rPr>
              <w:t>0.05</w:t>
            </w:r>
          </w:p>
        </w:tc>
        <w:tc>
          <w:tcPr>
            <w:tcW w:w="996" w:type="dxa"/>
            <w:noWrap/>
            <w:hideMark/>
          </w:tcPr>
          <w:p w14:paraId="777FF21E" w14:textId="77777777" w:rsidR="00263903" w:rsidRPr="00263903" w:rsidRDefault="00263903" w:rsidP="000B42F7">
            <w:pPr>
              <w:ind w:left="0" w:right="0"/>
              <w:jc w:val="right"/>
              <w:rPr>
                <w:rFonts w:cs="Arial"/>
                <w:color w:val="000000"/>
              </w:rPr>
            </w:pPr>
            <w:r w:rsidRPr="00263903">
              <w:rPr>
                <w:rFonts w:cs="Arial"/>
                <w:color w:val="000000"/>
              </w:rPr>
              <w:t>0.03</w:t>
            </w:r>
          </w:p>
        </w:tc>
      </w:tr>
    </w:tbl>
    <w:p w14:paraId="63449E61" w14:textId="33A53AF6" w:rsidR="00B34279" w:rsidRDefault="00B34279" w:rsidP="000B42F7">
      <w:pPr>
        <w:ind w:right="0"/>
      </w:pPr>
    </w:p>
    <w:p w14:paraId="64D3B533" w14:textId="77777777" w:rsidR="00B34279" w:rsidRDefault="00B34279" w:rsidP="000B42F7">
      <w:pPr>
        <w:ind w:left="0" w:right="0"/>
        <w:jc w:val="left"/>
      </w:pPr>
      <w:r>
        <w:br w:type="page"/>
      </w:r>
    </w:p>
    <w:p w14:paraId="4B09022C" w14:textId="0A8D1B42" w:rsidR="00263903" w:rsidRDefault="00B34279" w:rsidP="000B42F7">
      <w:pPr>
        <w:pStyle w:val="Heading1"/>
        <w:ind w:right="0"/>
      </w:pPr>
      <w:bookmarkStart w:id="13" w:name="_Ref117706475"/>
      <w:r>
        <w:lastRenderedPageBreak/>
        <w:t xml:space="preserve">Appendix D: </w:t>
      </w:r>
      <w:r>
        <w:t>Histograms of QB</w:t>
      </w:r>
      <w:r>
        <w:t xml:space="preserve"> Contract</w:t>
      </w:r>
      <w:r>
        <w:t xml:space="preserve"> Predictor Variables</w:t>
      </w:r>
      <w:bookmarkEnd w:id="13"/>
    </w:p>
    <w:p w14:paraId="0442EB9B" w14:textId="16555BB3" w:rsidR="00B34279" w:rsidRDefault="00B34279" w:rsidP="000B42F7">
      <w:pPr>
        <w:ind w:right="0"/>
      </w:pPr>
    </w:p>
    <w:p w14:paraId="63ABA9F3" w14:textId="4CA6B1E4" w:rsidR="00B34279" w:rsidRDefault="00B34279" w:rsidP="000B42F7">
      <w:pPr>
        <w:ind w:right="0"/>
      </w:pPr>
      <w:r>
        <w:rPr>
          <w:noProof/>
        </w:rPr>
        <w:drawing>
          <wp:inline distT="0" distB="0" distL="0" distR="0" wp14:anchorId="5C6649C0" wp14:editId="035EBC56">
            <wp:extent cx="6190488" cy="5102352"/>
            <wp:effectExtent l="0" t="0" r="127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90488" cy="5102352"/>
                    </a:xfrm>
                    <a:prstGeom prst="rect">
                      <a:avLst/>
                    </a:prstGeom>
                  </pic:spPr>
                </pic:pic>
              </a:graphicData>
            </a:graphic>
          </wp:inline>
        </w:drawing>
      </w:r>
    </w:p>
    <w:p w14:paraId="320350C5" w14:textId="443E6058" w:rsidR="00546176" w:rsidRDefault="00546176">
      <w:pPr>
        <w:ind w:left="0" w:right="0"/>
        <w:jc w:val="left"/>
      </w:pPr>
      <w:r>
        <w:br w:type="page"/>
      </w:r>
    </w:p>
    <w:p w14:paraId="2802F473" w14:textId="7BC49B81" w:rsidR="00546176" w:rsidRDefault="00546176" w:rsidP="00546176">
      <w:pPr>
        <w:pStyle w:val="Heading1"/>
      </w:pPr>
      <w:bookmarkStart w:id="14" w:name="_Ref117849681"/>
      <w:r>
        <w:lastRenderedPageBreak/>
        <w:t>Appendix E: Model Comparison for Predicting Contract Years</w:t>
      </w:r>
      <w:bookmarkEnd w:id="14"/>
    </w:p>
    <w:p w14:paraId="408E960E" w14:textId="391F6A08" w:rsidR="00546176" w:rsidRDefault="00546176" w:rsidP="00546176"/>
    <w:p w14:paraId="41246863" w14:textId="02C26235" w:rsidR="00E02EAD" w:rsidRDefault="00E02EAD" w:rsidP="00E02EAD">
      <w:pPr>
        <w:pStyle w:val="Caption"/>
        <w:ind w:right="0"/>
      </w:pPr>
      <w:r>
        <w:t xml:space="preserve">Table </w:t>
      </w:r>
      <w:r>
        <w:fldChar w:fldCharType="begin"/>
      </w:r>
      <w:r>
        <w:instrText xml:space="preserve"> SEQ Table \* ARABIC </w:instrText>
      </w:r>
      <w:r>
        <w:fldChar w:fldCharType="separate"/>
      </w:r>
      <w:r>
        <w:rPr>
          <w:noProof/>
        </w:rPr>
        <w:t>11</w:t>
      </w:r>
      <w:r>
        <w:fldChar w:fldCharType="end"/>
      </w:r>
      <w:r>
        <w:t xml:space="preserve">. </w:t>
      </w:r>
      <w:r>
        <w:t xml:space="preserve">MSE of </w:t>
      </w:r>
      <w:r>
        <w:t>Contract Years</w:t>
      </w:r>
      <w:r>
        <w:t xml:space="preserve"> predictions</w:t>
      </w:r>
      <w:r w:rsidRPr="00981D8E">
        <w:t xml:space="preserve"> by </w:t>
      </w:r>
      <w:r>
        <w:t>Variable Selection and Information Criteria</w:t>
      </w:r>
    </w:p>
    <w:tbl>
      <w:tblPr>
        <w:tblStyle w:val="TableGrid"/>
        <w:tblW w:w="0" w:type="auto"/>
        <w:tblInd w:w="720" w:type="dxa"/>
        <w:tblLook w:val="04A0" w:firstRow="1" w:lastRow="0" w:firstColumn="1" w:lastColumn="0" w:noHBand="0" w:noVBand="1"/>
      </w:tblPr>
      <w:tblGrid>
        <w:gridCol w:w="3124"/>
        <w:gridCol w:w="3145"/>
        <w:gridCol w:w="3081"/>
      </w:tblGrid>
      <w:tr w:rsidR="00546176" w14:paraId="5D4265F8" w14:textId="77777777" w:rsidTr="00546176">
        <w:tc>
          <w:tcPr>
            <w:tcW w:w="3124" w:type="dxa"/>
          </w:tcPr>
          <w:p w14:paraId="47FE2D97" w14:textId="77777777" w:rsidR="00546176" w:rsidRPr="00546176" w:rsidRDefault="00546176" w:rsidP="00F7751B">
            <w:pPr>
              <w:ind w:left="0" w:right="0"/>
              <w:jc w:val="center"/>
              <w:rPr>
                <w:rFonts w:cs="Arial"/>
                <w:b/>
                <w:bCs/>
              </w:rPr>
            </w:pPr>
            <w:r w:rsidRPr="00546176">
              <w:rPr>
                <w:rFonts w:cs="Arial"/>
                <w:b/>
                <w:bCs/>
              </w:rPr>
              <w:t>Variable Selection Method</w:t>
            </w:r>
          </w:p>
        </w:tc>
        <w:tc>
          <w:tcPr>
            <w:tcW w:w="3145" w:type="dxa"/>
          </w:tcPr>
          <w:p w14:paraId="7D27C755" w14:textId="77777777" w:rsidR="00546176" w:rsidRPr="00546176" w:rsidRDefault="00546176" w:rsidP="00F7751B">
            <w:pPr>
              <w:ind w:left="0" w:right="0"/>
              <w:jc w:val="center"/>
              <w:rPr>
                <w:rFonts w:cs="Arial"/>
                <w:b/>
                <w:bCs/>
              </w:rPr>
            </w:pPr>
            <w:r w:rsidRPr="00546176">
              <w:rPr>
                <w:rFonts w:cs="Arial"/>
                <w:b/>
                <w:bCs/>
              </w:rPr>
              <w:t>Information Criteria</w:t>
            </w:r>
          </w:p>
        </w:tc>
        <w:tc>
          <w:tcPr>
            <w:tcW w:w="3081" w:type="dxa"/>
          </w:tcPr>
          <w:p w14:paraId="7A16F1AD" w14:textId="77777777" w:rsidR="00546176" w:rsidRPr="00546176" w:rsidRDefault="00546176" w:rsidP="00F7751B">
            <w:pPr>
              <w:ind w:left="0" w:right="0"/>
              <w:jc w:val="center"/>
              <w:rPr>
                <w:rFonts w:cs="Arial"/>
                <w:b/>
                <w:bCs/>
              </w:rPr>
            </w:pPr>
            <w:r w:rsidRPr="00546176">
              <w:rPr>
                <w:rFonts w:cs="Arial"/>
                <w:b/>
                <w:bCs/>
              </w:rPr>
              <w:t>MSE</w:t>
            </w:r>
          </w:p>
        </w:tc>
      </w:tr>
      <w:tr w:rsidR="00546176" w:rsidRPr="00546176" w14:paraId="0E5A8AE8" w14:textId="77777777" w:rsidTr="00546176">
        <w:trPr>
          <w:trHeight w:val="300"/>
        </w:trPr>
        <w:tc>
          <w:tcPr>
            <w:tcW w:w="3124" w:type="dxa"/>
            <w:noWrap/>
            <w:hideMark/>
          </w:tcPr>
          <w:p w14:paraId="58764BCC" w14:textId="77777777" w:rsidR="00546176" w:rsidRPr="00546176" w:rsidRDefault="00546176" w:rsidP="00546176">
            <w:pPr>
              <w:ind w:left="0" w:right="0"/>
              <w:jc w:val="left"/>
              <w:rPr>
                <w:rFonts w:cs="Arial"/>
                <w:color w:val="000000"/>
              </w:rPr>
            </w:pPr>
            <w:r w:rsidRPr="00546176">
              <w:rPr>
                <w:rFonts w:cs="Arial"/>
                <w:color w:val="000000"/>
              </w:rPr>
              <w:t>Best Subsets</w:t>
            </w:r>
          </w:p>
        </w:tc>
        <w:tc>
          <w:tcPr>
            <w:tcW w:w="3145" w:type="dxa"/>
            <w:noWrap/>
            <w:hideMark/>
          </w:tcPr>
          <w:p w14:paraId="4D46B045" w14:textId="77777777" w:rsidR="00546176" w:rsidRPr="00546176" w:rsidRDefault="00546176" w:rsidP="00546176">
            <w:pPr>
              <w:ind w:left="0" w:right="0"/>
              <w:jc w:val="left"/>
              <w:rPr>
                <w:rFonts w:cs="Arial"/>
                <w:color w:val="000000"/>
              </w:rPr>
            </w:pPr>
            <w:r w:rsidRPr="00546176">
              <w:rPr>
                <w:rFonts w:cs="Arial"/>
                <w:color w:val="000000"/>
              </w:rPr>
              <w:t>BIC</w:t>
            </w:r>
          </w:p>
        </w:tc>
        <w:tc>
          <w:tcPr>
            <w:tcW w:w="3081" w:type="dxa"/>
            <w:noWrap/>
            <w:hideMark/>
          </w:tcPr>
          <w:p w14:paraId="2BE514C5" w14:textId="77777777" w:rsidR="00546176" w:rsidRPr="00546176" w:rsidRDefault="00546176" w:rsidP="00546176">
            <w:pPr>
              <w:ind w:left="0" w:right="0"/>
              <w:jc w:val="right"/>
              <w:rPr>
                <w:rFonts w:cs="Arial"/>
                <w:color w:val="000000"/>
              </w:rPr>
            </w:pPr>
            <w:r w:rsidRPr="00546176">
              <w:rPr>
                <w:rFonts w:cs="Arial"/>
                <w:color w:val="000000"/>
              </w:rPr>
              <w:t>1.58</w:t>
            </w:r>
          </w:p>
        </w:tc>
      </w:tr>
      <w:tr w:rsidR="00546176" w:rsidRPr="00546176" w14:paraId="399F74F1" w14:textId="77777777" w:rsidTr="00546176">
        <w:trPr>
          <w:trHeight w:val="300"/>
        </w:trPr>
        <w:tc>
          <w:tcPr>
            <w:tcW w:w="3124" w:type="dxa"/>
            <w:noWrap/>
            <w:hideMark/>
          </w:tcPr>
          <w:p w14:paraId="428FA8BE" w14:textId="77777777" w:rsidR="00546176" w:rsidRPr="00546176" w:rsidRDefault="00546176" w:rsidP="00546176">
            <w:pPr>
              <w:ind w:left="0" w:right="0"/>
              <w:jc w:val="left"/>
              <w:rPr>
                <w:rFonts w:cs="Arial"/>
                <w:color w:val="000000"/>
              </w:rPr>
            </w:pPr>
            <w:r w:rsidRPr="00546176">
              <w:rPr>
                <w:rFonts w:cs="Arial"/>
                <w:color w:val="000000"/>
              </w:rPr>
              <w:t>Forward Stepwise</w:t>
            </w:r>
          </w:p>
        </w:tc>
        <w:tc>
          <w:tcPr>
            <w:tcW w:w="3145" w:type="dxa"/>
            <w:noWrap/>
            <w:hideMark/>
          </w:tcPr>
          <w:p w14:paraId="1C495F49" w14:textId="77777777" w:rsidR="00546176" w:rsidRPr="00546176" w:rsidRDefault="00546176" w:rsidP="00546176">
            <w:pPr>
              <w:ind w:left="0" w:right="0"/>
              <w:jc w:val="left"/>
              <w:rPr>
                <w:rFonts w:cs="Arial"/>
                <w:color w:val="000000"/>
              </w:rPr>
            </w:pPr>
            <w:r w:rsidRPr="00546176">
              <w:rPr>
                <w:rFonts w:cs="Arial"/>
                <w:color w:val="000000"/>
              </w:rPr>
              <w:t>BIC</w:t>
            </w:r>
          </w:p>
        </w:tc>
        <w:tc>
          <w:tcPr>
            <w:tcW w:w="3081" w:type="dxa"/>
            <w:noWrap/>
            <w:hideMark/>
          </w:tcPr>
          <w:p w14:paraId="45D93A54" w14:textId="77777777" w:rsidR="00546176" w:rsidRPr="00546176" w:rsidRDefault="00546176" w:rsidP="00546176">
            <w:pPr>
              <w:ind w:left="0" w:right="0"/>
              <w:jc w:val="right"/>
              <w:rPr>
                <w:rFonts w:cs="Arial"/>
                <w:color w:val="000000"/>
              </w:rPr>
            </w:pPr>
            <w:r w:rsidRPr="00546176">
              <w:rPr>
                <w:rFonts w:cs="Arial"/>
                <w:color w:val="000000"/>
              </w:rPr>
              <w:t>1.58</w:t>
            </w:r>
          </w:p>
        </w:tc>
      </w:tr>
      <w:tr w:rsidR="00546176" w:rsidRPr="00546176" w14:paraId="3769C0F1" w14:textId="77777777" w:rsidTr="00546176">
        <w:trPr>
          <w:trHeight w:val="300"/>
        </w:trPr>
        <w:tc>
          <w:tcPr>
            <w:tcW w:w="3124" w:type="dxa"/>
            <w:noWrap/>
            <w:hideMark/>
          </w:tcPr>
          <w:p w14:paraId="355625E1" w14:textId="77777777" w:rsidR="00546176" w:rsidRPr="00546176" w:rsidRDefault="00546176" w:rsidP="00546176">
            <w:pPr>
              <w:ind w:left="0" w:right="0"/>
              <w:jc w:val="left"/>
              <w:rPr>
                <w:rFonts w:cs="Arial"/>
                <w:color w:val="000000"/>
              </w:rPr>
            </w:pPr>
            <w:r w:rsidRPr="00546176">
              <w:rPr>
                <w:rFonts w:cs="Arial"/>
                <w:color w:val="000000"/>
              </w:rPr>
              <w:t>Forward Stepwise</w:t>
            </w:r>
          </w:p>
        </w:tc>
        <w:tc>
          <w:tcPr>
            <w:tcW w:w="3145" w:type="dxa"/>
            <w:noWrap/>
            <w:hideMark/>
          </w:tcPr>
          <w:p w14:paraId="44F80AE5" w14:textId="77777777" w:rsidR="00546176" w:rsidRPr="00546176" w:rsidRDefault="00546176" w:rsidP="00546176">
            <w:pPr>
              <w:ind w:left="0" w:right="0"/>
              <w:jc w:val="left"/>
              <w:rPr>
                <w:rFonts w:cs="Arial"/>
                <w:color w:val="000000"/>
              </w:rPr>
            </w:pPr>
            <w:r w:rsidRPr="00546176">
              <w:rPr>
                <w:rFonts w:cs="Arial"/>
                <w:color w:val="000000"/>
              </w:rPr>
              <w:t>Adj R^2</w:t>
            </w:r>
          </w:p>
        </w:tc>
        <w:tc>
          <w:tcPr>
            <w:tcW w:w="3081" w:type="dxa"/>
            <w:noWrap/>
            <w:hideMark/>
          </w:tcPr>
          <w:p w14:paraId="7AC6CB14" w14:textId="77777777" w:rsidR="00546176" w:rsidRPr="00546176" w:rsidRDefault="00546176" w:rsidP="00546176">
            <w:pPr>
              <w:ind w:left="0" w:right="0"/>
              <w:jc w:val="right"/>
              <w:rPr>
                <w:rFonts w:cs="Arial"/>
                <w:color w:val="000000"/>
              </w:rPr>
            </w:pPr>
            <w:r w:rsidRPr="00546176">
              <w:rPr>
                <w:rFonts w:cs="Arial"/>
                <w:color w:val="000000"/>
              </w:rPr>
              <w:t>1.82</w:t>
            </w:r>
          </w:p>
        </w:tc>
      </w:tr>
      <w:tr w:rsidR="00546176" w:rsidRPr="00546176" w14:paraId="0F0C9997" w14:textId="77777777" w:rsidTr="00546176">
        <w:trPr>
          <w:trHeight w:val="300"/>
        </w:trPr>
        <w:tc>
          <w:tcPr>
            <w:tcW w:w="3124" w:type="dxa"/>
            <w:noWrap/>
            <w:hideMark/>
          </w:tcPr>
          <w:p w14:paraId="6F1BAEFF" w14:textId="77777777" w:rsidR="00546176" w:rsidRPr="00546176" w:rsidRDefault="00546176" w:rsidP="00546176">
            <w:pPr>
              <w:ind w:left="0" w:right="0"/>
              <w:jc w:val="left"/>
              <w:rPr>
                <w:rFonts w:cs="Arial"/>
                <w:color w:val="000000"/>
              </w:rPr>
            </w:pPr>
            <w:r w:rsidRPr="00546176">
              <w:rPr>
                <w:rFonts w:cs="Arial"/>
                <w:color w:val="000000"/>
              </w:rPr>
              <w:t>Best Subsets</w:t>
            </w:r>
          </w:p>
        </w:tc>
        <w:tc>
          <w:tcPr>
            <w:tcW w:w="3145" w:type="dxa"/>
            <w:noWrap/>
            <w:hideMark/>
          </w:tcPr>
          <w:p w14:paraId="1415577D" w14:textId="77777777" w:rsidR="00546176" w:rsidRPr="00546176" w:rsidRDefault="00546176" w:rsidP="00546176">
            <w:pPr>
              <w:ind w:left="0" w:right="0"/>
              <w:jc w:val="left"/>
              <w:rPr>
                <w:rFonts w:cs="Arial"/>
                <w:color w:val="000000"/>
              </w:rPr>
            </w:pPr>
            <w:r w:rsidRPr="00546176">
              <w:rPr>
                <w:rFonts w:cs="Arial"/>
                <w:color w:val="000000"/>
              </w:rPr>
              <w:t>Adj R^2</w:t>
            </w:r>
          </w:p>
        </w:tc>
        <w:tc>
          <w:tcPr>
            <w:tcW w:w="3081" w:type="dxa"/>
            <w:noWrap/>
            <w:hideMark/>
          </w:tcPr>
          <w:p w14:paraId="11CA0ACA" w14:textId="77777777" w:rsidR="00546176" w:rsidRPr="00546176" w:rsidRDefault="00546176" w:rsidP="00546176">
            <w:pPr>
              <w:ind w:left="0" w:right="0"/>
              <w:jc w:val="right"/>
              <w:rPr>
                <w:rFonts w:cs="Arial"/>
                <w:color w:val="000000"/>
              </w:rPr>
            </w:pPr>
            <w:r w:rsidRPr="00546176">
              <w:rPr>
                <w:rFonts w:cs="Arial"/>
                <w:color w:val="000000"/>
              </w:rPr>
              <w:t>2.07</w:t>
            </w:r>
          </w:p>
        </w:tc>
      </w:tr>
      <w:tr w:rsidR="00546176" w:rsidRPr="00546176" w14:paraId="74BEF31B" w14:textId="77777777" w:rsidTr="00546176">
        <w:trPr>
          <w:trHeight w:val="300"/>
        </w:trPr>
        <w:tc>
          <w:tcPr>
            <w:tcW w:w="3124" w:type="dxa"/>
            <w:noWrap/>
            <w:hideMark/>
          </w:tcPr>
          <w:p w14:paraId="716CDDCA" w14:textId="77777777" w:rsidR="00546176" w:rsidRPr="00546176" w:rsidRDefault="00546176" w:rsidP="00546176">
            <w:pPr>
              <w:ind w:left="0" w:right="0"/>
              <w:jc w:val="left"/>
              <w:rPr>
                <w:rFonts w:cs="Arial"/>
                <w:color w:val="000000"/>
              </w:rPr>
            </w:pPr>
            <w:r w:rsidRPr="00546176">
              <w:rPr>
                <w:rFonts w:cs="Arial"/>
                <w:color w:val="000000"/>
              </w:rPr>
              <w:t>Backward Stepwise</w:t>
            </w:r>
          </w:p>
        </w:tc>
        <w:tc>
          <w:tcPr>
            <w:tcW w:w="3145" w:type="dxa"/>
            <w:noWrap/>
            <w:hideMark/>
          </w:tcPr>
          <w:p w14:paraId="78858777" w14:textId="77777777" w:rsidR="00546176" w:rsidRPr="00546176" w:rsidRDefault="00546176" w:rsidP="00546176">
            <w:pPr>
              <w:ind w:left="0" w:right="0"/>
              <w:jc w:val="left"/>
              <w:rPr>
                <w:rFonts w:cs="Arial"/>
                <w:color w:val="000000"/>
              </w:rPr>
            </w:pPr>
            <w:r w:rsidRPr="00546176">
              <w:rPr>
                <w:rFonts w:cs="Arial"/>
                <w:color w:val="000000"/>
              </w:rPr>
              <w:t>Adj R^2</w:t>
            </w:r>
          </w:p>
        </w:tc>
        <w:tc>
          <w:tcPr>
            <w:tcW w:w="3081" w:type="dxa"/>
            <w:noWrap/>
            <w:hideMark/>
          </w:tcPr>
          <w:p w14:paraId="35AACE73" w14:textId="77777777" w:rsidR="00546176" w:rsidRPr="00546176" w:rsidRDefault="00546176" w:rsidP="00546176">
            <w:pPr>
              <w:ind w:left="0" w:right="0"/>
              <w:jc w:val="right"/>
              <w:rPr>
                <w:rFonts w:cs="Arial"/>
                <w:color w:val="000000"/>
              </w:rPr>
            </w:pPr>
            <w:r w:rsidRPr="00546176">
              <w:rPr>
                <w:rFonts w:cs="Arial"/>
                <w:color w:val="000000"/>
              </w:rPr>
              <w:t>2.07</w:t>
            </w:r>
          </w:p>
        </w:tc>
      </w:tr>
      <w:tr w:rsidR="00546176" w:rsidRPr="00546176" w14:paraId="4720315F" w14:textId="77777777" w:rsidTr="00546176">
        <w:trPr>
          <w:trHeight w:val="300"/>
        </w:trPr>
        <w:tc>
          <w:tcPr>
            <w:tcW w:w="3124" w:type="dxa"/>
            <w:noWrap/>
            <w:hideMark/>
          </w:tcPr>
          <w:p w14:paraId="5C815123" w14:textId="77777777" w:rsidR="00546176" w:rsidRPr="00546176" w:rsidRDefault="00546176" w:rsidP="00546176">
            <w:pPr>
              <w:ind w:left="0" w:right="0"/>
              <w:jc w:val="left"/>
              <w:rPr>
                <w:rFonts w:cs="Arial"/>
                <w:color w:val="000000"/>
              </w:rPr>
            </w:pPr>
            <w:r w:rsidRPr="00546176">
              <w:rPr>
                <w:rFonts w:cs="Arial"/>
                <w:color w:val="000000"/>
              </w:rPr>
              <w:t>Forward Stepwise</w:t>
            </w:r>
          </w:p>
        </w:tc>
        <w:tc>
          <w:tcPr>
            <w:tcW w:w="3145" w:type="dxa"/>
            <w:noWrap/>
            <w:hideMark/>
          </w:tcPr>
          <w:p w14:paraId="68128F24" w14:textId="77777777" w:rsidR="00546176" w:rsidRPr="00546176" w:rsidRDefault="00546176" w:rsidP="00546176">
            <w:pPr>
              <w:ind w:left="0" w:right="0"/>
              <w:jc w:val="left"/>
              <w:rPr>
                <w:rFonts w:cs="Arial"/>
                <w:color w:val="000000"/>
              </w:rPr>
            </w:pPr>
            <w:r w:rsidRPr="00546176">
              <w:rPr>
                <w:rFonts w:cs="Arial"/>
                <w:color w:val="000000"/>
              </w:rPr>
              <w:t>Cp</w:t>
            </w:r>
          </w:p>
        </w:tc>
        <w:tc>
          <w:tcPr>
            <w:tcW w:w="3081" w:type="dxa"/>
            <w:noWrap/>
            <w:hideMark/>
          </w:tcPr>
          <w:p w14:paraId="2B0A59B5" w14:textId="77777777" w:rsidR="00546176" w:rsidRPr="00546176" w:rsidRDefault="00546176" w:rsidP="00546176">
            <w:pPr>
              <w:ind w:left="0" w:right="0"/>
              <w:jc w:val="right"/>
              <w:rPr>
                <w:rFonts w:cs="Arial"/>
                <w:color w:val="000000"/>
              </w:rPr>
            </w:pPr>
            <w:r w:rsidRPr="00546176">
              <w:rPr>
                <w:rFonts w:cs="Arial"/>
                <w:color w:val="000000"/>
              </w:rPr>
              <w:t>2.15</w:t>
            </w:r>
          </w:p>
        </w:tc>
      </w:tr>
      <w:tr w:rsidR="00546176" w:rsidRPr="00546176" w14:paraId="774B86E1" w14:textId="77777777" w:rsidTr="00546176">
        <w:trPr>
          <w:trHeight w:val="300"/>
        </w:trPr>
        <w:tc>
          <w:tcPr>
            <w:tcW w:w="3124" w:type="dxa"/>
            <w:noWrap/>
            <w:hideMark/>
          </w:tcPr>
          <w:p w14:paraId="3912E154" w14:textId="77777777" w:rsidR="00546176" w:rsidRPr="00546176" w:rsidRDefault="00546176" w:rsidP="00546176">
            <w:pPr>
              <w:ind w:left="0" w:right="0"/>
              <w:jc w:val="left"/>
              <w:rPr>
                <w:rFonts w:cs="Arial"/>
                <w:color w:val="000000"/>
              </w:rPr>
            </w:pPr>
            <w:r w:rsidRPr="00546176">
              <w:rPr>
                <w:rFonts w:cs="Arial"/>
                <w:color w:val="000000"/>
              </w:rPr>
              <w:t>Lasso</w:t>
            </w:r>
          </w:p>
        </w:tc>
        <w:tc>
          <w:tcPr>
            <w:tcW w:w="3145" w:type="dxa"/>
            <w:noWrap/>
            <w:hideMark/>
          </w:tcPr>
          <w:p w14:paraId="245B28DC" w14:textId="77777777" w:rsidR="00546176" w:rsidRPr="00546176" w:rsidRDefault="00546176" w:rsidP="00546176">
            <w:pPr>
              <w:ind w:left="0" w:right="0"/>
              <w:jc w:val="left"/>
              <w:rPr>
                <w:rFonts w:cs="Arial"/>
                <w:color w:val="000000"/>
              </w:rPr>
            </w:pPr>
            <w:r w:rsidRPr="00546176">
              <w:rPr>
                <w:rFonts w:cs="Arial"/>
                <w:color w:val="000000"/>
              </w:rPr>
              <w:t>N/A</w:t>
            </w:r>
          </w:p>
        </w:tc>
        <w:tc>
          <w:tcPr>
            <w:tcW w:w="3081" w:type="dxa"/>
            <w:noWrap/>
            <w:hideMark/>
          </w:tcPr>
          <w:p w14:paraId="583B557D" w14:textId="77777777" w:rsidR="00546176" w:rsidRPr="00546176" w:rsidRDefault="00546176" w:rsidP="00546176">
            <w:pPr>
              <w:ind w:left="0" w:right="0"/>
              <w:jc w:val="right"/>
              <w:rPr>
                <w:rFonts w:cs="Arial"/>
                <w:color w:val="000000"/>
              </w:rPr>
            </w:pPr>
            <w:r w:rsidRPr="00546176">
              <w:rPr>
                <w:rFonts w:cs="Arial"/>
                <w:color w:val="000000"/>
              </w:rPr>
              <w:t>2.96</w:t>
            </w:r>
          </w:p>
        </w:tc>
      </w:tr>
      <w:tr w:rsidR="00546176" w:rsidRPr="00546176" w14:paraId="08FE5CDE" w14:textId="77777777" w:rsidTr="00546176">
        <w:trPr>
          <w:trHeight w:val="300"/>
        </w:trPr>
        <w:tc>
          <w:tcPr>
            <w:tcW w:w="3124" w:type="dxa"/>
            <w:noWrap/>
            <w:hideMark/>
          </w:tcPr>
          <w:p w14:paraId="27826A37" w14:textId="77777777" w:rsidR="00546176" w:rsidRPr="00546176" w:rsidRDefault="00546176" w:rsidP="00546176">
            <w:pPr>
              <w:ind w:left="0" w:right="0"/>
              <w:jc w:val="left"/>
              <w:rPr>
                <w:rFonts w:cs="Arial"/>
                <w:color w:val="000000"/>
              </w:rPr>
            </w:pPr>
            <w:r w:rsidRPr="00546176">
              <w:rPr>
                <w:rFonts w:cs="Arial"/>
                <w:color w:val="000000"/>
              </w:rPr>
              <w:t>Ridge Regression</w:t>
            </w:r>
          </w:p>
        </w:tc>
        <w:tc>
          <w:tcPr>
            <w:tcW w:w="3145" w:type="dxa"/>
            <w:noWrap/>
            <w:hideMark/>
          </w:tcPr>
          <w:p w14:paraId="513178DA" w14:textId="77777777" w:rsidR="00546176" w:rsidRPr="00546176" w:rsidRDefault="00546176" w:rsidP="00546176">
            <w:pPr>
              <w:ind w:left="0" w:right="0"/>
              <w:jc w:val="left"/>
              <w:rPr>
                <w:rFonts w:cs="Arial"/>
                <w:color w:val="000000"/>
              </w:rPr>
            </w:pPr>
            <w:r w:rsidRPr="00546176">
              <w:rPr>
                <w:rFonts w:cs="Arial"/>
                <w:color w:val="000000"/>
              </w:rPr>
              <w:t>N/A</w:t>
            </w:r>
          </w:p>
        </w:tc>
        <w:tc>
          <w:tcPr>
            <w:tcW w:w="3081" w:type="dxa"/>
            <w:noWrap/>
            <w:hideMark/>
          </w:tcPr>
          <w:p w14:paraId="71F617DD" w14:textId="77777777" w:rsidR="00546176" w:rsidRPr="00546176" w:rsidRDefault="00546176" w:rsidP="00546176">
            <w:pPr>
              <w:ind w:left="0" w:right="0"/>
              <w:jc w:val="right"/>
              <w:rPr>
                <w:rFonts w:cs="Arial"/>
                <w:color w:val="000000"/>
              </w:rPr>
            </w:pPr>
            <w:r w:rsidRPr="00546176">
              <w:rPr>
                <w:rFonts w:cs="Arial"/>
                <w:color w:val="000000"/>
              </w:rPr>
              <w:t>3.50</w:t>
            </w:r>
          </w:p>
        </w:tc>
      </w:tr>
      <w:tr w:rsidR="00546176" w:rsidRPr="00546176" w14:paraId="2061B9FF" w14:textId="77777777" w:rsidTr="00546176">
        <w:trPr>
          <w:trHeight w:val="300"/>
        </w:trPr>
        <w:tc>
          <w:tcPr>
            <w:tcW w:w="3124" w:type="dxa"/>
            <w:noWrap/>
            <w:hideMark/>
          </w:tcPr>
          <w:p w14:paraId="213D7390" w14:textId="77777777" w:rsidR="00546176" w:rsidRPr="00546176" w:rsidRDefault="00546176" w:rsidP="00546176">
            <w:pPr>
              <w:ind w:left="0" w:right="0"/>
              <w:jc w:val="left"/>
              <w:rPr>
                <w:rFonts w:cs="Arial"/>
                <w:color w:val="000000"/>
              </w:rPr>
            </w:pPr>
            <w:r w:rsidRPr="00546176">
              <w:rPr>
                <w:rFonts w:cs="Arial"/>
                <w:color w:val="000000"/>
              </w:rPr>
              <w:t>Best Subsets</w:t>
            </w:r>
          </w:p>
        </w:tc>
        <w:tc>
          <w:tcPr>
            <w:tcW w:w="3145" w:type="dxa"/>
            <w:noWrap/>
            <w:hideMark/>
          </w:tcPr>
          <w:p w14:paraId="4D8716A8" w14:textId="77777777" w:rsidR="00546176" w:rsidRPr="00546176" w:rsidRDefault="00546176" w:rsidP="00546176">
            <w:pPr>
              <w:ind w:left="0" w:right="0"/>
              <w:jc w:val="left"/>
              <w:rPr>
                <w:rFonts w:cs="Arial"/>
                <w:color w:val="000000"/>
              </w:rPr>
            </w:pPr>
            <w:r w:rsidRPr="00546176">
              <w:rPr>
                <w:rFonts w:cs="Arial"/>
                <w:color w:val="000000"/>
              </w:rPr>
              <w:t>Cp</w:t>
            </w:r>
          </w:p>
        </w:tc>
        <w:tc>
          <w:tcPr>
            <w:tcW w:w="3081" w:type="dxa"/>
            <w:noWrap/>
            <w:hideMark/>
          </w:tcPr>
          <w:p w14:paraId="527CFF7A" w14:textId="77777777" w:rsidR="00546176" w:rsidRPr="00546176" w:rsidRDefault="00546176" w:rsidP="00546176">
            <w:pPr>
              <w:ind w:left="0" w:right="0"/>
              <w:jc w:val="right"/>
              <w:rPr>
                <w:rFonts w:cs="Arial"/>
                <w:color w:val="000000"/>
              </w:rPr>
            </w:pPr>
            <w:r w:rsidRPr="00546176">
              <w:rPr>
                <w:rFonts w:cs="Arial"/>
                <w:color w:val="000000"/>
              </w:rPr>
              <w:t>3.58</w:t>
            </w:r>
          </w:p>
        </w:tc>
      </w:tr>
      <w:tr w:rsidR="00546176" w:rsidRPr="00546176" w14:paraId="1C7C6A31" w14:textId="77777777" w:rsidTr="00546176">
        <w:trPr>
          <w:trHeight w:val="300"/>
        </w:trPr>
        <w:tc>
          <w:tcPr>
            <w:tcW w:w="3124" w:type="dxa"/>
            <w:noWrap/>
            <w:hideMark/>
          </w:tcPr>
          <w:p w14:paraId="60293AD6" w14:textId="77777777" w:rsidR="00546176" w:rsidRPr="00546176" w:rsidRDefault="00546176" w:rsidP="00546176">
            <w:pPr>
              <w:ind w:left="0" w:right="0"/>
              <w:jc w:val="left"/>
              <w:rPr>
                <w:rFonts w:cs="Arial"/>
                <w:color w:val="000000"/>
              </w:rPr>
            </w:pPr>
            <w:r w:rsidRPr="00546176">
              <w:rPr>
                <w:rFonts w:cs="Arial"/>
                <w:color w:val="000000"/>
              </w:rPr>
              <w:t>Backward Stepwise</w:t>
            </w:r>
          </w:p>
        </w:tc>
        <w:tc>
          <w:tcPr>
            <w:tcW w:w="3145" w:type="dxa"/>
            <w:noWrap/>
            <w:hideMark/>
          </w:tcPr>
          <w:p w14:paraId="28C2FD5C" w14:textId="77777777" w:rsidR="00546176" w:rsidRPr="00546176" w:rsidRDefault="00546176" w:rsidP="00546176">
            <w:pPr>
              <w:ind w:left="0" w:right="0"/>
              <w:jc w:val="left"/>
              <w:rPr>
                <w:rFonts w:cs="Arial"/>
                <w:color w:val="000000"/>
              </w:rPr>
            </w:pPr>
            <w:r w:rsidRPr="00546176">
              <w:rPr>
                <w:rFonts w:cs="Arial"/>
                <w:color w:val="000000"/>
              </w:rPr>
              <w:t>Cp</w:t>
            </w:r>
          </w:p>
        </w:tc>
        <w:tc>
          <w:tcPr>
            <w:tcW w:w="3081" w:type="dxa"/>
            <w:noWrap/>
            <w:hideMark/>
          </w:tcPr>
          <w:p w14:paraId="5B7E6F30" w14:textId="77777777" w:rsidR="00546176" w:rsidRPr="00546176" w:rsidRDefault="00546176" w:rsidP="00546176">
            <w:pPr>
              <w:ind w:left="0" w:right="0"/>
              <w:jc w:val="right"/>
              <w:rPr>
                <w:rFonts w:cs="Arial"/>
                <w:color w:val="000000"/>
              </w:rPr>
            </w:pPr>
            <w:r w:rsidRPr="00546176">
              <w:rPr>
                <w:rFonts w:cs="Arial"/>
                <w:color w:val="000000"/>
              </w:rPr>
              <w:t>3.58</w:t>
            </w:r>
          </w:p>
        </w:tc>
      </w:tr>
      <w:tr w:rsidR="00546176" w:rsidRPr="00546176" w14:paraId="1E119B56" w14:textId="77777777" w:rsidTr="00546176">
        <w:trPr>
          <w:trHeight w:val="300"/>
        </w:trPr>
        <w:tc>
          <w:tcPr>
            <w:tcW w:w="3124" w:type="dxa"/>
            <w:noWrap/>
            <w:hideMark/>
          </w:tcPr>
          <w:p w14:paraId="6C02A6E6" w14:textId="77777777" w:rsidR="00546176" w:rsidRPr="00546176" w:rsidRDefault="00546176" w:rsidP="00546176">
            <w:pPr>
              <w:ind w:left="0" w:right="0"/>
              <w:jc w:val="left"/>
              <w:rPr>
                <w:rFonts w:cs="Arial"/>
                <w:color w:val="000000"/>
              </w:rPr>
            </w:pPr>
            <w:r w:rsidRPr="00546176">
              <w:rPr>
                <w:rFonts w:cs="Arial"/>
                <w:color w:val="000000"/>
              </w:rPr>
              <w:t>Backward Stepwise</w:t>
            </w:r>
          </w:p>
        </w:tc>
        <w:tc>
          <w:tcPr>
            <w:tcW w:w="3145" w:type="dxa"/>
            <w:noWrap/>
            <w:hideMark/>
          </w:tcPr>
          <w:p w14:paraId="3CC9C23C" w14:textId="77777777" w:rsidR="00546176" w:rsidRPr="00546176" w:rsidRDefault="00546176" w:rsidP="00546176">
            <w:pPr>
              <w:ind w:left="0" w:right="0"/>
              <w:jc w:val="left"/>
              <w:rPr>
                <w:rFonts w:cs="Arial"/>
                <w:color w:val="000000"/>
              </w:rPr>
            </w:pPr>
            <w:r w:rsidRPr="00546176">
              <w:rPr>
                <w:rFonts w:cs="Arial"/>
                <w:color w:val="000000"/>
              </w:rPr>
              <w:t>BIC</w:t>
            </w:r>
          </w:p>
        </w:tc>
        <w:tc>
          <w:tcPr>
            <w:tcW w:w="3081" w:type="dxa"/>
            <w:noWrap/>
            <w:hideMark/>
          </w:tcPr>
          <w:p w14:paraId="232D5B3B" w14:textId="77777777" w:rsidR="00546176" w:rsidRPr="00546176" w:rsidRDefault="00546176" w:rsidP="00546176">
            <w:pPr>
              <w:ind w:left="0" w:right="0"/>
              <w:jc w:val="right"/>
              <w:rPr>
                <w:rFonts w:cs="Arial"/>
                <w:color w:val="000000"/>
              </w:rPr>
            </w:pPr>
            <w:r w:rsidRPr="00546176">
              <w:rPr>
                <w:rFonts w:cs="Arial"/>
                <w:color w:val="000000"/>
              </w:rPr>
              <w:t>3.58</w:t>
            </w:r>
          </w:p>
        </w:tc>
      </w:tr>
    </w:tbl>
    <w:p w14:paraId="053391AC" w14:textId="051A75B0" w:rsidR="00EC3CB0" w:rsidRDefault="00EC3CB0" w:rsidP="00546176"/>
    <w:p w14:paraId="6321A02D" w14:textId="77777777" w:rsidR="00EC3CB0" w:rsidRDefault="00EC3CB0">
      <w:pPr>
        <w:ind w:left="0" w:right="0"/>
        <w:jc w:val="left"/>
      </w:pPr>
      <w:r>
        <w:br w:type="page"/>
      </w:r>
    </w:p>
    <w:p w14:paraId="48FBF608" w14:textId="1990902F" w:rsidR="00546176" w:rsidRDefault="00EC3CB0" w:rsidP="00EC3CB0">
      <w:pPr>
        <w:pStyle w:val="Heading1"/>
      </w:pPr>
      <w:bookmarkStart w:id="15" w:name="_Ref117854419"/>
      <w:r>
        <w:lastRenderedPageBreak/>
        <w:t>Appendix F: Linear Model Assumptions for Predicting Contract Years</w:t>
      </w:r>
      <w:bookmarkEnd w:id="15"/>
    </w:p>
    <w:p w14:paraId="59F81A76" w14:textId="1E1C1456" w:rsidR="005C4C22" w:rsidRDefault="005C4C22" w:rsidP="005C4C22"/>
    <w:p w14:paraId="3644D732" w14:textId="4FB8AE7B" w:rsidR="005C4C22" w:rsidRPr="005C4C22" w:rsidRDefault="005C4C22" w:rsidP="005C4C22">
      <w:r>
        <w:rPr>
          <w:noProof/>
        </w:rPr>
        <w:drawing>
          <wp:inline distT="0" distB="0" distL="0" distR="0" wp14:anchorId="7B0A87A9" wp14:editId="70B93419">
            <wp:extent cx="6090082" cy="5018276"/>
            <wp:effectExtent l="0" t="0" r="6350" b="0"/>
            <wp:docPr id="6" name="Picture 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94893" cy="5022240"/>
                    </a:xfrm>
                    <a:prstGeom prst="rect">
                      <a:avLst/>
                    </a:prstGeom>
                  </pic:spPr>
                </pic:pic>
              </a:graphicData>
            </a:graphic>
          </wp:inline>
        </w:drawing>
      </w:r>
    </w:p>
    <w:sectPr w:rsidR="005C4C22" w:rsidRPr="005C4C22" w:rsidSect="00C93A6E">
      <w:headerReference w:type="default" r:id="rId20"/>
      <w:footerReference w:type="default" r:id="rId21"/>
      <w:footerReference w:type="first" r:id="rId22"/>
      <w:pgSz w:w="12240" w:h="15840"/>
      <w:pgMar w:top="720" w:right="1440" w:bottom="108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41E40" w14:textId="77777777" w:rsidR="000F7D96" w:rsidRDefault="000F7D96" w:rsidP="00D279F2">
      <w:r>
        <w:separator/>
      </w:r>
    </w:p>
    <w:p w14:paraId="19497630" w14:textId="77777777" w:rsidR="000F7D96" w:rsidRDefault="000F7D96"/>
  </w:endnote>
  <w:endnote w:type="continuationSeparator" w:id="0">
    <w:p w14:paraId="07049190" w14:textId="77777777" w:rsidR="000F7D96" w:rsidRDefault="000F7D96" w:rsidP="00D279F2">
      <w:r>
        <w:continuationSeparator/>
      </w:r>
    </w:p>
    <w:p w14:paraId="5550EB32" w14:textId="77777777" w:rsidR="000F7D96" w:rsidRDefault="000F7D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C3345" w14:textId="70541928" w:rsidR="00CA4F1A" w:rsidRDefault="00CA4F1A" w:rsidP="00D279F2">
    <w:pPr>
      <w:pStyle w:val="Footer"/>
    </w:pPr>
    <w:r>
      <w:t xml:space="preserve">                    An Equal Opportunity University</w:t>
    </w:r>
    <w:r>
      <w:tab/>
    </w:r>
    <w:r>
      <w:tab/>
    </w:r>
  </w:p>
  <w:p w14:paraId="69C964D4"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0FDD" w14:textId="3BE9A8AE" w:rsidR="00CA4F1A" w:rsidRDefault="00CA4F1A" w:rsidP="00D279F2">
    <w:pPr>
      <w:pStyle w:val="Footer"/>
    </w:pPr>
    <w:r>
      <w:t xml:space="preserve">                An Equal Opportunity University</w:t>
    </w:r>
    <w:r>
      <w:tab/>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sidR="00EB772F">
      <w:rPr>
        <w:rStyle w:val="PageNumber"/>
        <w:noProof/>
        <w:sz w:val="20"/>
      </w:rPr>
      <w:t>1</w:t>
    </w:r>
    <w:r>
      <w:rPr>
        <w:rStyle w:val="PageNumber"/>
        <w:sz w:val="20"/>
      </w:rPr>
      <w:fldChar w:fldCharType="end"/>
    </w:r>
    <w:r>
      <w:tab/>
    </w:r>
  </w:p>
  <w:p w14:paraId="38C55E2A" w14:textId="77777777" w:rsidR="00CA4F1A" w:rsidRDefault="00CA4F1A" w:rsidP="00D279F2">
    <w:pPr>
      <w:pStyle w:val="Footer"/>
    </w:pPr>
  </w:p>
  <w:p w14:paraId="059257C9"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B58B4" w14:textId="77777777" w:rsidR="000F7D96" w:rsidRDefault="000F7D96" w:rsidP="00D279F2">
      <w:r>
        <w:separator/>
      </w:r>
    </w:p>
    <w:p w14:paraId="6156AEC1" w14:textId="77777777" w:rsidR="000F7D96" w:rsidRDefault="000F7D96"/>
  </w:footnote>
  <w:footnote w:type="continuationSeparator" w:id="0">
    <w:p w14:paraId="6E847EBE" w14:textId="77777777" w:rsidR="000F7D96" w:rsidRDefault="000F7D96" w:rsidP="00D279F2">
      <w:r>
        <w:continuationSeparator/>
      </w:r>
    </w:p>
    <w:p w14:paraId="6BFF3EB3" w14:textId="77777777" w:rsidR="000F7D96" w:rsidRDefault="000F7D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00378" w14:textId="77777777" w:rsidR="00CA4F1A" w:rsidRDefault="00CA4F1A" w:rsidP="00D279F2">
    <w:pPr>
      <w:pStyle w:val="Header"/>
    </w:pPr>
  </w:p>
  <w:p w14:paraId="2A31E817" w14:textId="77777777" w:rsidR="00CA4F1A" w:rsidRDefault="00CA4F1A" w:rsidP="00D279F2">
    <w:pPr>
      <w:pStyle w:val="Head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EB772F">
      <w:rPr>
        <w:rStyle w:val="PageNumber"/>
        <w:noProof/>
      </w:rPr>
      <w:t>3</w:t>
    </w:r>
    <w:r>
      <w:rPr>
        <w:rStyle w:val="PageNumber"/>
      </w:rPr>
      <w:fldChar w:fldCharType="end"/>
    </w:r>
  </w:p>
  <w:p w14:paraId="57A1777F" w14:textId="77777777" w:rsidR="00CA4F1A" w:rsidRPr="003104BE" w:rsidRDefault="00CA4F1A" w:rsidP="00D279F2">
    <w:pPr>
      <w:pStyle w:val="Header"/>
      <w:rPr>
        <w:rStyle w:val="PageNumber"/>
        <w:i/>
      </w:rPr>
    </w:pPr>
    <w:r>
      <w:rPr>
        <w:rStyle w:val="PageNumber"/>
        <w:i/>
      </w:rPr>
      <w:t>DATE</w:t>
    </w:r>
  </w:p>
  <w:p w14:paraId="6872255E" w14:textId="77777777" w:rsidR="00CA4F1A" w:rsidRDefault="00CA4F1A" w:rsidP="00D279F2">
    <w:pPr>
      <w:pStyle w:val="Header"/>
      <w:rPr>
        <w:rStyle w:val="PageNumber"/>
      </w:rPr>
    </w:pPr>
  </w:p>
  <w:p w14:paraId="7E106601" w14:textId="77777777" w:rsidR="00CA4F1A" w:rsidRDefault="00CA4F1A" w:rsidP="00D279F2">
    <w:pPr>
      <w:pStyle w:val="Header"/>
    </w:pPr>
    <w:r>
      <w:tab/>
    </w:r>
    <w:r>
      <w:tab/>
    </w:r>
    <w:r>
      <w:tab/>
    </w:r>
  </w:p>
  <w:p w14:paraId="37D68ED2"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4FE1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E323D"/>
    <w:multiLevelType w:val="singleLevel"/>
    <w:tmpl w:val="311A1A2C"/>
    <w:lvl w:ilvl="0">
      <w:start w:val="6"/>
      <w:numFmt w:val="decimal"/>
      <w:lvlText w:val="%1."/>
      <w:lvlJc w:val="left"/>
      <w:pPr>
        <w:tabs>
          <w:tab w:val="num" w:pos="1080"/>
        </w:tabs>
        <w:ind w:left="1080" w:hanging="360"/>
      </w:pPr>
      <w:rPr>
        <w:rFonts w:hint="default"/>
      </w:rPr>
    </w:lvl>
  </w:abstractNum>
  <w:abstractNum w:abstractNumId="2" w15:restartNumberingAfterBreak="0">
    <w:nsid w:val="13776F14"/>
    <w:multiLevelType w:val="hybridMultilevel"/>
    <w:tmpl w:val="4EBC0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058D6"/>
    <w:multiLevelType w:val="singleLevel"/>
    <w:tmpl w:val="C0EA7B84"/>
    <w:lvl w:ilvl="0">
      <w:start w:val="1"/>
      <w:numFmt w:val="decimal"/>
      <w:lvlText w:val="%1."/>
      <w:lvlJc w:val="left"/>
      <w:pPr>
        <w:tabs>
          <w:tab w:val="num" w:pos="1080"/>
        </w:tabs>
        <w:ind w:left="1080" w:hanging="360"/>
      </w:pPr>
      <w:rPr>
        <w:rFonts w:hint="default"/>
      </w:rPr>
    </w:lvl>
  </w:abstractNum>
  <w:abstractNum w:abstractNumId="4" w15:restartNumberingAfterBreak="0">
    <w:nsid w:val="15FE5C9E"/>
    <w:multiLevelType w:val="singleLevel"/>
    <w:tmpl w:val="D096A2B2"/>
    <w:lvl w:ilvl="0">
      <w:start w:val="1"/>
      <w:numFmt w:val="decimal"/>
      <w:lvlText w:val="%1. "/>
      <w:legacy w:legacy="1" w:legacySpace="0" w:legacyIndent="360"/>
      <w:lvlJc w:val="left"/>
      <w:pPr>
        <w:ind w:left="360" w:hanging="360"/>
      </w:pPr>
      <w:rPr>
        <w:b w:val="0"/>
        <w:i w:val="0"/>
        <w:sz w:val="24"/>
      </w:rPr>
    </w:lvl>
  </w:abstractNum>
  <w:abstractNum w:abstractNumId="5" w15:restartNumberingAfterBreak="0">
    <w:nsid w:val="166131B7"/>
    <w:multiLevelType w:val="hybridMultilevel"/>
    <w:tmpl w:val="DBE46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3D349C"/>
    <w:multiLevelType w:val="hybridMultilevel"/>
    <w:tmpl w:val="E660A2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F2E4E2E"/>
    <w:multiLevelType w:val="hybridMultilevel"/>
    <w:tmpl w:val="0114AD84"/>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 w15:restartNumberingAfterBreak="0">
    <w:nsid w:val="27245158"/>
    <w:multiLevelType w:val="singleLevel"/>
    <w:tmpl w:val="D222EE4A"/>
    <w:lvl w:ilvl="0">
      <w:start w:val="1"/>
      <w:numFmt w:val="decimal"/>
      <w:lvlText w:val="%1."/>
      <w:lvlJc w:val="left"/>
      <w:pPr>
        <w:tabs>
          <w:tab w:val="num" w:pos="1080"/>
        </w:tabs>
        <w:ind w:left="1080" w:hanging="360"/>
      </w:pPr>
      <w:rPr>
        <w:rFonts w:hint="default"/>
      </w:rPr>
    </w:lvl>
  </w:abstractNum>
  <w:abstractNum w:abstractNumId="9" w15:restartNumberingAfterBreak="0">
    <w:nsid w:val="318B59CF"/>
    <w:multiLevelType w:val="hybridMultilevel"/>
    <w:tmpl w:val="8446FDBE"/>
    <w:lvl w:ilvl="0" w:tplc="C6A66E5C">
      <w:start w:val="1"/>
      <w:numFmt w:val="upperLetter"/>
      <w:lvlText w:val="%1."/>
      <w:lvlJc w:val="left"/>
      <w:pPr>
        <w:tabs>
          <w:tab w:val="num" w:pos="1440"/>
        </w:tabs>
        <w:ind w:left="1440" w:hanging="720"/>
      </w:pPr>
      <w:rPr>
        <w:rFonts w:hint="default"/>
      </w:rPr>
    </w:lvl>
    <w:lvl w:ilvl="1" w:tplc="207A3FF6">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DA47274"/>
    <w:multiLevelType w:val="hybridMultilevel"/>
    <w:tmpl w:val="3A986558"/>
    <w:lvl w:ilvl="0" w:tplc="7442942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01F242C"/>
    <w:multiLevelType w:val="hybridMultilevel"/>
    <w:tmpl w:val="C152E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343D6D"/>
    <w:multiLevelType w:val="multilevel"/>
    <w:tmpl w:val="8834A366"/>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3" w15:restartNumberingAfterBreak="0">
    <w:nsid w:val="4ED6206C"/>
    <w:multiLevelType w:val="singleLevel"/>
    <w:tmpl w:val="33442BCC"/>
    <w:lvl w:ilvl="0">
      <w:start w:val="1"/>
      <w:numFmt w:val="decimal"/>
      <w:lvlText w:val="%1."/>
      <w:lvlJc w:val="left"/>
      <w:pPr>
        <w:tabs>
          <w:tab w:val="num" w:pos="720"/>
        </w:tabs>
        <w:ind w:left="720" w:hanging="720"/>
      </w:pPr>
      <w:rPr>
        <w:rFonts w:hint="default"/>
      </w:rPr>
    </w:lvl>
  </w:abstractNum>
  <w:abstractNum w:abstractNumId="14" w15:restartNumberingAfterBreak="0">
    <w:nsid w:val="4FB63343"/>
    <w:multiLevelType w:val="hybridMultilevel"/>
    <w:tmpl w:val="A232C1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7A17507"/>
    <w:multiLevelType w:val="hybridMultilevel"/>
    <w:tmpl w:val="0210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4077F7"/>
    <w:multiLevelType w:val="hybridMultilevel"/>
    <w:tmpl w:val="32D6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8D7A1F"/>
    <w:multiLevelType w:val="hybridMultilevel"/>
    <w:tmpl w:val="944CAAAE"/>
    <w:lvl w:ilvl="0" w:tplc="CEC28A9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965A56"/>
    <w:multiLevelType w:val="hybridMultilevel"/>
    <w:tmpl w:val="C186A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2719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94119684">
    <w:abstractNumId w:val="19"/>
  </w:num>
  <w:num w:numId="2" w16cid:durableId="768160001">
    <w:abstractNumId w:val="13"/>
  </w:num>
  <w:num w:numId="3" w16cid:durableId="190385256">
    <w:abstractNumId w:val="4"/>
  </w:num>
  <w:num w:numId="4" w16cid:durableId="1053092">
    <w:abstractNumId w:val="8"/>
  </w:num>
  <w:num w:numId="5" w16cid:durableId="1741367747">
    <w:abstractNumId w:val="3"/>
  </w:num>
  <w:num w:numId="6" w16cid:durableId="751662710">
    <w:abstractNumId w:val="1"/>
  </w:num>
  <w:num w:numId="7" w16cid:durableId="286473265">
    <w:abstractNumId w:val="9"/>
  </w:num>
  <w:num w:numId="8" w16cid:durableId="70547915">
    <w:abstractNumId w:val="10"/>
  </w:num>
  <w:num w:numId="9" w16cid:durableId="1208295934">
    <w:abstractNumId w:val="7"/>
  </w:num>
  <w:num w:numId="10" w16cid:durableId="1928995097">
    <w:abstractNumId w:val="14"/>
  </w:num>
  <w:num w:numId="11" w16cid:durableId="1086852345">
    <w:abstractNumId w:val="6"/>
  </w:num>
  <w:num w:numId="12" w16cid:durableId="1742604408">
    <w:abstractNumId w:val="12"/>
  </w:num>
  <w:num w:numId="13" w16cid:durableId="106855717">
    <w:abstractNumId w:val="0"/>
  </w:num>
  <w:num w:numId="14" w16cid:durableId="1603227181">
    <w:abstractNumId w:val="18"/>
  </w:num>
  <w:num w:numId="15" w16cid:durableId="68577556">
    <w:abstractNumId w:val="16"/>
  </w:num>
  <w:num w:numId="16" w16cid:durableId="1152985617">
    <w:abstractNumId w:val="2"/>
  </w:num>
  <w:num w:numId="17" w16cid:durableId="482087136">
    <w:abstractNumId w:val="15"/>
  </w:num>
  <w:num w:numId="18" w16cid:durableId="1359349647">
    <w:abstractNumId w:val="5"/>
  </w:num>
  <w:num w:numId="19" w16cid:durableId="2111510390">
    <w:abstractNumId w:val="11"/>
  </w:num>
  <w:num w:numId="20" w16cid:durableId="531380090">
    <w:abstractNumId w:val="17"/>
  </w:num>
  <w:num w:numId="21" w16cid:durableId="1916666756">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3"/>
    <w:rsid w:val="000168BD"/>
    <w:rsid w:val="00022406"/>
    <w:rsid w:val="00030F63"/>
    <w:rsid w:val="00045FF8"/>
    <w:rsid w:val="00076369"/>
    <w:rsid w:val="000805B2"/>
    <w:rsid w:val="00083A90"/>
    <w:rsid w:val="00090CF6"/>
    <w:rsid w:val="000A5365"/>
    <w:rsid w:val="000A6F5F"/>
    <w:rsid w:val="000B42F7"/>
    <w:rsid w:val="000B4A6A"/>
    <w:rsid w:val="000C3FED"/>
    <w:rsid w:val="000C597E"/>
    <w:rsid w:val="000E5436"/>
    <w:rsid w:val="000E55C4"/>
    <w:rsid w:val="000F47ED"/>
    <w:rsid w:val="000F7D96"/>
    <w:rsid w:val="00100FA6"/>
    <w:rsid w:val="00141CDA"/>
    <w:rsid w:val="00156B45"/>
    <w:rsid w:val="00170EDD"/>
    <w:rsid w:val="001B7D65"/>
    <w:rsid w:val="001D55FF"/>
    <w:rsid w:val="001F0960"/>
    <w:rsid w:val="001F7509"/>
    <w:rsid w:val="00203820"/>
    <w:rsid w:val="00216406"/>
    <w:rsid w:val="002430B8"/>
    <w:rsid w:val="00247577"/>
    <w:rsid w:val="00260FF5"/>
    <w:rsid w:val="00263903"/>
    <w:rsid w:val="002860B8"/>
    <w:rsid w:val="002B243E"/>
    <w:rsid w:val="002C3DD6"/>
    <w:rsid w:val="002D1569"/>
    <w:rsid w:val="002D2DE9"/>
    <w:rsid w:val="002F1A4D"/>
    <w:rsid w:val="00302F12"/>
    <w:rsid w:val="003104BE"/>
    <w:rsid w:val="00333F3A"/>
    <w:rsid w:val="00337BFD"/>
    <w:rsid w:val="003418EF"/>
    <w:rsid w:val="00365299"/>
    <w:rsid w:val="00391D3D"/>
    <w:rsid w:val="00393443"/>
    <w:rsid w:val="003A0CF1"/>
    <w:rsid w:val="003A67A3"/>
    <w:rsid w:val="003B1AD6"/>
    <w:rsid w:val="003C6132"/>
    <w:rsid w:val="003F5239"/>
    <w:rsid w:val="00402ADA"/>
    <w:rsid w:val="00404862"/>
    <w:rsid w:val="0042516F"/>
    <w:rsid w:val="00432EC6"/>
    <w:rsid w:val="00434559"/>
    <w:rsid w:val="004969BE"/>
    <w:rsid w:val="004B497B"/>
    <w:rsid w:val="004C5B01"/>
    <w:rsid w:val="004D6450"/>
    <w:rsid w:val="004D6DE6"/>
    <w:rsid w:val="004E5A3C"/>
    <w:rsid w:val="004E7A56"/>
    <w:rsid w:val="0054293C"/>
    <w:rsid w:val="00546176"/>
    <w:rsid w:val="0054659B"/>
    <w:rsid w:val="005654F6"/>
    <w:rsid w:val="00570627"/>
    <w:rsid w:val="00570E36"/>
    <w:rsid w:val="00573458"/>
    <w:rsid w:val="00573B21"/>
    <w:rsid w:val="005C4C22"/>
    <w:rsid w:val="005F62BD"/>
    <w:rsid w:val="006030C0"/>
    <w:rsid w:val="00607EDD"/>
    <w:rsid w:val="006349F8"/>
    <w:rsid w:val="00640475"/>
    <w:rsid w:val="006448F4"/>
    <w:rsid w:val="00646C64"/>
    <w:rsid w:val="00664A15"/>
    <w:rsid w:val="006662DB"/>
    <w:rsid w:val="00671044"/>
    <w:rsid w:val="00674C35"/>
    <w:rsid w:val="006928C8"/>
    <w:rsid w:val="00694BFC"/>
    <w:rsid w:val="006A2041"/>
    <w:rsid w:val="006A2B23"/>
    <w:rsid w:val="006B00F4"/>
    <w:rsid w:val="006D354F"/>
    <w:rsid w:val="006E30E8"/>
    <w:rsid w:val="006F30B2"/>
    <w:rsid w:val="0070449B"/>
    <w:rsid w:val="0072288E"/>
    <w:rsid w:val="00724086"/>
    <w:rsid w:val="007414DB"/>
    <w:rsid w:val="007534DF"/>
    <w:rsid w:val="007568CE"/>
    <w:rsid w:val="007801F9"/>
    <w:rsid w:val="00792B21"/>
    <w:rsid w:val="007942BF"/>
    <w:rsid w:val="007B1A74"/>
    <w:rsid w:val="00824184"/>
    <w:rsid w:val="00824D8B"/>
    <w:rsid w:val="00831605"/>
    <w:rsid w:val="00832CF0"/>
    <w:rsid w:val="00833A55"/>
    <w:rsid w:val="008348E5"/>
    <w:rsid w:val="00865D65"/>
    <w:rsid w:val="008A4D7D"/>
    <w:rsid w:val="008A6763"/>
    <w:rsid w:val="008D61B6"/>
    <w:rsid w:val="008D772C"/>
    <w:rsid w:val="008E3C14"/>
    <w:rsid w:val="008E5BF5"/>
    <w:rsid w:val="008F0CCC"/>
    <w:rsid w:val="009057E5"/>
    <w:rsid w:val="00955FC8"/>
    <w:rsid w:val="009649A3"/>
    <w:rsid w:val="00984927"/>
    <w:rsid w:val="00990DAF"/>
    <w:rsid w:val="009A2AFC"/>
    <w:rsid w:val="009E418E"/>
    <w:rsid w:val="009F60D5"/>
    <w:rsid w:val="00A05C01"/>
    <w:rsid w:val="00A6694B"/>
    <w:rsid w:val="00A867B2"/>
    <w:rsid w:val="00A874E5"/>
    <w:rsid w:val="00AB4C2E"/>
    <w:rsid w:val="00AC1B4A"/>
    <w:rsid w:val="00AC5C16"/>
    <w:rsid w:val="00AD3BCA"/>
    <w:rsid w:val="00AD614B"/>
    <w:rsid w:val="00B27C2A"/>
    <w:rsid w:val="00B34279"/>
    <w:rsid w:val="00B5295C"/>
    <w:rsid w:val="00B6111D"/>
    <w:rsid w:val="00B61F6E"/>
    <w:rsid w:val="00B741B9"/>
    <w:rsid w:val="00BA3FE6"/>
    <w:rsid w:val="00BA7A33"/>
    <w:rsid w:val="00BB5086"/>
    <w:rsid w:val="00BB6E6D"/>
    <w:rsid w:val="00BC3EEA"/>
    <w:rsid w:val="00BC6763"/>
    <w:rsid w:val="00BE6E4B"/>
    <w:rsid w:val="00BE71C3"/>
    <w:rsid w:val="00BF2F04"/>
    <w:rsid w:val="00BF4926"/>
    <w:rsid w:val="00C35B2E"/>
    <w:rsid w:val="00C76646"/>
    <w:rsid w:val="00C86742"/>
    <w:rsid w:val="00C93A6E"/>
    <w:rsid w:val="00CA4F1A"/>
    <w:rsid w:val="00CD6E81"/>
    <w:rsid w:val="00CE3E7A"/>
    <w:rsid w:val="00CF2419"/>
    <w:rsid w:val="00CF42A3"/>
    <w:rsid w:val="00D06A49"/>
    <w:rsid w:val="00D279F2"/>
    <w:rsid w:val="00D3646C"/>
    <w:rsid w:val="00D4190C"/>
    <w:rsid w:val="00D4721F"/>
    <w:rsid w:val="00D50C97"/>
    <w:rsid w:val="00D67032"/>
    <w:rsid w:val="00D67583"/>
    <w:rsid w:val="00D97FD7"/>
    <w:rsid w:val="00DD3671"/>
    <w:rsid w:val="00DE0AC5"/>
    <w:rsid w:val="00DE62D2"/>
    <w:rsid w:val="00DE71EE"/>
    <w:rsid w:val="00DF18EA"/>
    <w:rsid w:val="00E02EAD"/>
    <w:rsid w:val="00E34789"/>
    <w:rsid w:val="00E52CE4"/>
    <w:rsid w:val="00E902DE"/>
    <w:rsid w:val="00E97CF4"/>
    <w:rsid w:val="00EB020A"/>
    <w:rsid w:val="00EB6E01"/>
    <w:rsid w:val="00EB772F"/>
    <w:rsid w:val="00EC3CB0"/>
    <w:rsid w:val="00ED1B26"/>
    <w:rsid w:val="00EE3D81"/>
    <w:rsid w:val="00EF47CA"/>
    <w:rsid w:val="00EF7A54"/>
    <w:rsid w:val="00F13889"/>
    <w:rsid w:val="00F21252"/>
    <w:rsid w:val="00F31569"/>
    <w:rsid w:val="00F547C4"/>
    <w:rsid w:val="00F76569"/>
    <w:rsid w:val="00F81604"/>
    <w:rsid w:val="00FA114A"/>
    <w:rsid w:val="00FA53F0"/>
    <w:rsid w:val="00FB195C"/>
    <w:rsid w:val="00FC0E8C"/>
    <w:rsid w:val="00FE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918FC"/>
  <w15:chartTrackingRefBased/>
  <w15:docId w15:val="{9E274CE7-E402-3F46-AB4C-4643CB56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9F2"/>
    <w:pPr>
      <w:ind w:left="720" w:right="-360"/>
      <w:jc w:val="both"/>
    </w:pPr>
    <w:rPr>
      <w:rFonts w:ascii="Arial" w:hAnsi="Arial"/>
      <w:sz w:val="22"/>
      <w:szCs w:val="22"/>
    </w:rPr>
  </w:style>
  <w:style w:type="paragraph" w:styleId="Heading1">
    <w:name w:val="heading 1"/>
    <w:basedOn w:val="Normal"/>
    <w:next w:val="Normal"/>
    <w:link w:val="Heading1Char"/>
    <w:qFormat/>
    <w:rsid w:val="007942BF"/>
    <w:pPr>
      <w:spacing w:line="220" w:lineRule="exac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Caption">
    <w:name w:val="caption"/>
    <w:basedOn w:val="Normal"/>
    <w:next w:val="Normal"/>
    <w:qFormat/>
    <w:rsid w:val="007942BF"/>
    <w:pPr>
      <w:keepNext/>
      <w:spacing w:before="120" w:after="120"/>
    </w:pPr>
    <w:rPr>
      <w:b/>
      <w:sz w:val="20"/>
      <w:szCs w:val="20"/>
    </w:rPr>
  </w:style>
  <w:style w:type="table" w:styleId="TableGrid">
    <w:name w:val="Table Grid"/>
    <w:basedOn w:val="TableNormal"/>
    <w:rsid w:val="00D50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Firstline05">
    <w:name w:val="Style Caption + First line:  0.5&quot;"/>
    <w:basedOn w:val="Caption"/>
    <w:rsid w:val="003A0CF1"/>
    <w:pPr>
      <w:ind w:firstLine="720"/>
    </w:pPr>
    <w:rPr>
      <w:b w:val="0"/>
      <w:i/>
    </w:rPr>
  </w:style>
  <w:style w:type="paragraph" w:styleId="ListParagraph">
    <w:name w:val="List Paragraph"/>
    <w:basedOn w:val="Normal"/>
    <w:uiPriority w:val="34"/>
    <w:qFormat/>
    <w:rsid w:val="000B42F7"/>
    <w:pPr>
      <w:numPr>
        <w:numId w:val="20"/>
      </w:numPr>
      <w:ind w:right="0"/>
      <w:contextualSpacing/>
    </w:pPr>
    <w:rPr>
      <w:rFonts w:eastAsia="MS Mincho" w:cs="Arial"/>
      <w:szCs w:val="24"/>
    </w:rPr>
  </w:style>
  <w:style w:type="character" w:customStyle="1" w:styleId="Heading1Char">
    <w:name w:val="Heading 1 Char"/>
    <w:basedOn w:val="DefaultParagraphFont"/>
    <w:link w:val="Heading1"/>
    <w:rsid w:val="007942BF"/>
    <w:rPr>
      <w:rFonts w:ascii="Arial" w:hAnsi="Arial"/>
      <w:b/>
      <w:bCs/>
      <w:sz w:val="24"/>
      <w:szCs w:val="24"/>
    </w:rPr>
  </w:style>
  <w:style w:type="character" w:styleId="UnresolvedMention">
    <w:name w:val="Unresolved Mention"/>
    <w:basedOn w:val="DefaultParagraphFont"/>
    <w:uiPriority w:val="99"/>
    <w:semiHidden/>
    <w:unhideWhenUsed/>
    <w:rsid w:val="006A2B23"/>
    <w:rPr>
      <w:color w:val="605E5C"/>
      <w:shd w:val="clear" w:color="auto" w:fill="E1DFDD"/>
    </w:rPr>
  </w:style>
  <w:style w:type="paragraph" w:styleId="EndnoteText">
    <w:name w:val="endnote text"/>
    <w:basedOn w:val="Normal"/>
    <w:link w:val="EndnoteTextChar"/>
    <w:rsid w:val="007942BF"/>
    <w:rPr>
      <w:sz w:val="20"/>
      <w:szCs w:val="20"/>
    </w:rPr>
  </w:style>
  <w:style w:type="character" w:customStyle="1" w:styleId="EndnoteTextChar">
    <w:name w:val="Endnote Text Char"/>
    <w:basedOn w:val="DefaultParagraphFont"/>
    <w:link w:val="EndnoteText"/>
    <w:rsid w:val="007942BF"/>
    <w:rPr>
      <w:rFonts w:ascii="Arial" w:hAnsi="Arial"/>
    </w:rPr>
  </w:style>
  <w:style w:type="character" w:styleId="EndnoteReference">
    <w:name w:val="endnote reference"/>
    <w:basedOn w:val="DefaultParagraphFont"/>
    <w:rsid w:val="007942BF"/>
    <w:rPr>
      <w:vertAlign w:val="superscript"/>
    </w:rPr>
  </w:style>
  <w:style w:type="character" w:styleId="PlaceholderText">
    <w:name w:val="Placeholder Text"/>
    <w:basedOn w:val="DefaultParagraphFont"/>
    <w:uiPriority w:val="99"/>
    <w:semiHidden/>
    <w:rsid w:val="00DF18EA"/>
    <w:rPr>
      <w:color w:val="808080"/>
    </w:rPr>
  </w:style>
  <w:style w:type="character" w:styleId="Emphasis">
    <w:name w:val="Emphasis"/>
    <w:basedOn w:val="DefaultParagraphFont"/>
    <w:qFormat/>
    <w:rsid w:val="000A5365"/>
    <w:rPr>
      <w:i/>
      <w:iCs/>
    </w:rPr>
  </w:style>
  <w:style w:type="paragraph" w:customStyle="1" w:styleId="Heading2Custom">
    <w:name w:val="Heading 2 Custom"/>
    <w:basedOn w:val="Normal"/>
    <w:link w:val="Heading2CustomChar"/>
    <w:qFormat/>
    <w:rsid w:val="00404862"/>
    <w:rPr>
      <w:b/>
      <w:bCs/>
    </w:rPr>
  </w:style>
  <w:style w:type="character" w:customStyle="1" w:styleId="Heading2CustomChar">
    <w:name w:val="Heading 2 Custom Char"/>
    <w:basedOn w:val="DefaultParagraphFont"/>
    <w:link w:val="Heading2Custom"/>
    <w:rsid w:val="00404862"/>
    <w:rPr>
      <w:rFonts w:ascii="Arial" w:hAnsi="Arial"/>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877">
      <w:bodyDiv w:val="1"/>
      <w:marLeft w:val="0"/>
      <w:marRight w:val="0"/>
      <w:marTop w:val="0"/>
      <w:marBottom w:val="0"/>
      <w:divBdr>
        <w:top w:val="none" w:sz="0" w:space="0" w:color="auto"/>
        <w:left w:val="none" w:sz="0" w:space="0" w:color="auto"/>
        <w:bottom w:val="none" w:sz="0" w:space="0" w:color="auto"/>
        <w:right w:val="none" w:sz="0" w:space="0" w:color="auto"/>
      </w:divBdr>
    </w:div>
    <w:div w:id="55058859">
      <w:bodyDiv w:val="1"/>
      <w:marLeft w:val="0"/>
      <w:marRight w:val="0"/>
      <w:marTop w:val="0"/>
      <w:marBottom w:val="0"/>
      <w:divBdr>
        <w:top w:val="none" w:sz="0" w:space="0" w:color="auto"/>
        <w:left w:val="none" w:sz="0" w:space="0" w:color="auto"/>
        <w:bottom w:val="none" w:sz="0" w:space="0" w:color="auto"/>
        <w:right w:val="none" w:sz="0" w:space="0" w:color="auto"/>
      </w:divBdr>
    </w:div>
    <w:div w:id="224067730">
      <w:bodyDiv w:val="1"/>
      <w:marLeft w:val="0"/>
      <w:marRight w:val="0"/>
      <w:marTop w:val="0"/>
      <w:marBottom w:val="0"/>
      <w:divBdr>
        <w:top w:val="none" w:sz="0" w:space="0" w:color="auto"/>
        <w:left w:val="none" w:sz="0" w:space="0" w:color="auto"/>
        <w:bottom w:val="none" w:sz="0" w:space="0" w:color="auto"/>
        <w:right w:val="none" w:sz="0" w:space="0" w:color="auto"/>
      </w:divBdr>
    </w:div>
    <w:div w:id="333991762">
      <w:bodyDiv w:val="1"/>
      <w:marLeft w:val="0"/>
      <w:marRight w:val="0"/>
      <w:marTop w:val="0"/>
      <w:marBottom w:val="0"/>
      <w:divBdr>
        <w:top w:val="none" w:sz="0" w:space="0" w:color="auto"/>
        <w:left w:val="none" w:sz="0" w:space="0" w:color="auto"/>
        <w:bottom w:val="none" w:sz="0" w:space="0" w:color="auto"/>
        <w:right w:val="none" w:sz="0" w:space="0" w:color="auto"/>
      </w:divBdr>
    </w:div>
    <w:div w:id="414669427">
      <w:bodyDiv w:val="1"/>
      <w:marLeft w:val="0"/>
      <w:marRight w:val="0"/>
      <w:marTop w:val="0"/>
      <w:marBottom w:val="0"/>
      <w:divBdr>
        <w:top w:val="none" w:sz="0" w:space="0" w:color="auto"/>
        <w:left w:val="none" w:sz="0" w:space="0" w:color="auto"/>
        <w:bottom w:val="none" w:sz="0" w:space="0" w:color="auto"/>
        <w:right w:val="none" w:sz="0" w:space="0" w:color="auto"/>
      </w:divBdr>
    </w:div>
    <w:div w:id="661007509">
      <w:bodyDiv w:val="1"/>
      <w:marLeft w:val="0"/>
      <w:marRight w:val="0"/>
      <w:marTop w:val="0"/>
      <w:marBottom w:val="0"/>
      <w:divBdr>
        <w:top w:val="none" w:sz="0" w:space="0" w:color="auto"/>
        <w:left w:val="none" w:sz="0" w:space="0" w:color="auto"/>
        <w:bottom w:val="none" w:sz="0" w:space="0" w:color="auto"/>
        <w:right w:val="none" w:sz="0" w:space="0" w:color="auto"/>
      </w:divBdr>
    </w:div>
    <w:div w:id="1070150415">
      <w:bodyDiv w:val="1"/>
      <w:marLeft w:val="0"/>
      <w:marRight w:val="0"/>
      <w:marTop w:val="0"/>
      <w:marBottom w:val="0"/>
      <w:divBdr>
        <w:top w:val="none" w:sz="0" w:space="0" w:color="auto"/>
        <w:left w:val="none" w:sz="0" w:space="0" w:color="auto"/>
        <w:bottom w:val="none" w:sz="0" w:space="0" w:color="auto"/>
        <w:right w:val="none" w:sz="0" w:space="0" w:color="auto"/>
      </w:divBdr>
    </w:div>
    <w:div w:id="1150177529">
      <w:bodyDiv w:val="1"/>
      <w:marLeft w:val="0"/>
      <w:marRight w:val="0"/>
      <w:marTop w:val="0"/>
      <w:marBottom w:val="0"/>
      <w:divBdr>
        <w:top w:val="none" w:sz="0" w:space="0" w:color="auto"/>
        <w:left w:val="none" w:sz="0" w:space="0" w:color="auto"/>
        <w:bottom w:val="none" w:sz="0" w:space="0" w:color="auto"/>
        <w:right w:val="none" w:sz="0" w:space="0" w:color="auto"/>
      </w:divBdr>
    </w:div>
    <w:div w:id="1386221362">
      <w:bodyDiv w:val="1"/>
      <w:marLeft w:val="0"/>
      <w:marRight w:val="0"/>
      <w:marTop w:val="0"/>
      <w:marBottom w:val="0"/>
      <w:divBdr>
        <w:top w:val="none" w:sz="0" w:space="0" w:color="auto"/>
        <w:left w:val="none" w:sz="0" w:space="0" w:color="auto"/>
        <w:bottom w:val="none" w:sz="0" w:space="0" w:color="auto"/>
        <w:right w:val="none" w:sz="0" w:space="0" w:color="auto"/>
      </w:divBdr>
    </w:div>
    <w:div w:id="1402827106">
      <w:bodyDiv w:val="1"/>
      <w:marLeft w:val="0"/>
      <w:marRight w:val="0"/>
      <w:marTop w:val="0"/>
      <w:marBottom w:val="0"/>
      <w:divBdr>
        <w:top w:val="none" w:sz="0" w:space="0" w:color="auto"/>
        <w:left w:val="none" w:sz="0" w:space="0" w:color="auto"/>
        <w:bottom w:val="none" w:sz="0" w:space="0" w:color="auto"/>
        <w:right w:val="none" w:sz="0" w:space="0" w:color="auto"/>
      </w:divBdr>
    </w:div>
    <w:div w:id="1405028916">
      <w:bodyDiv w:val="1"/>
      <w:marLeft w:val="0"/>
      <w:marRight w:val="0"/>
      <w:marTop w:val="0"/>
      <w:marBottom w:val="0"/>
      <w:divBdr>
        <w:top w:val="none" w:sz="0" w:space="0" w:color="auto"/>
        <w:left w:val="none" w:sz="0" w:space="0" w:color="auto"/>
        <w:bottom w:val="none" w:sz="0" w:space="0" w:color="auto"/>
        <w:right w:val="none" w:sz="0" w:space="0" w:color="auto"/>
      </w:divBdr>
    </w:div>
    <w:div w:id="1413314661">
      <w:bodyDiv w:val="1"/>
      <w:marLeft w:val="0"/>
      <w:marRight w:val="0"/>
      <w:marTop w:val="0"/>
      <w:marBottom w:val="0"/>
      <w:divBdr>
        <w:top w:val="none" w:sz="0" w:space="0" w:color="auto"/>
        <w:left w:val="none" w:sz="0" w:space="0" w:color="auto"/>
        <w:bottom w:val="none" w:sz="0" w:space="0" w:color="auto"/>
        <w:right w:val="none" w:sz="0" w:space="0" w:color="auto"/>
      </w:divBdr>
    </w:div>
    <w:div w:id="1562445522">
      <w:bodyDiv w:val="1"/>
      <w:marLeft w:val="0"/>
      <w:marRight w:val="0"/>
      <w:marTop w:val="0"/>
      <w:marBottom w:val="0"/>
      <w:divBdr>
        <w:top w:val="none" w:sz="0" w:space="0" w:color="auto"/>
        <w:left w:val="none" w:sz="0" w:space="0" w:color="auto"/>
        <w:bottom w:val="none" w:sz="0" w:space="0" w:color="auto"/>
        <w:right w:val="none" w:sz="0" w:space="0" w:color="auto"/>
      </w:divBdr>
    </w:div>
    <w:div w:id="1585719762">
      <w:bodyDiv w:val="1"/>
      <w:marLeft w:val="0"/>
      <w:marRight w:val="0"/>
      <w:marTop w:val="0"/>
      <w:marBottom w:val="0"/>
      <w:divBdr>
        <w:top w:val="none" w:sz="0" w:space="0" w:color="auto"/>
        <w:left w:val="none" w:sz="0" w:space="0" w:color="auto"/>
        <w:bottom w:val="none" w:sz="0" w:space="0" w:color="auto"/>
        <w:right w:val="none" w:sz="0" w:space="0" w:color="auto"/>
      </w:divBdr>
    </w:div>
    <w:div w:id="1619949904">
      <w:bodyDiv w:val="1"/>
      <w:marLeft w:val="0"/>
      <w:marRight w:val="0"/>
      <w:marTop w:val="0"/>
      <w:marBottom w:val="0"/>
      <w:divBdr>
        <w:top w:val="none" w:sz="0" w:space="0" w:color="auto"/>
        <w:left w:val="none" w:sz="0" w:space="0" w:color="auto"/>
        <w:bottom w:val="none" w:sz="0" w:space="0" w:color="auto"/>
        <w:right w:val="none" w:sz="0" w:space="0" w:color="auto"/>
      </w:divBdr>
    </w:div>
    <w:div w:id="194268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flreadr.nflverse.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flfastr.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the33rdteam.com/breakdowns/cpoe-explain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feloapp.com/analysis/expected-points-added-epa-nf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the33rdteam.com/breakdowns/cpoe-explained/"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D3D44-D40C-4E90-8C14-1FAA5E679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17</Pages>
  <Words>3669</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lpstr>
    </vt:vector>
  </TitlesOfParts>
  <Company>The Pennsylvania State University</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Statistics Department</dc:creator>
  <cp:keywords/>
  <dc:description/>
  <cp:lastModifiedBy>Sweigard, Neil Andrew</cp:lastModifiedBy>
  <cp:revision>74</cp:revision>
  <cp:lastPrinted>2010-08-17T16:57:00Z</cp:lastPrinted>
  <dcterms:created xsi:type="dcterms:W3CDTF">2022-10-25T00:29:00Z</dcterms:created>
  <dcterms:modified xsi:type="dcterms:W3CDTF">2022-10-28T18:02:00Z</dcterms:modified>
</cp:coreProperties>
</file>