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70.png" ContentType="image/png"/>
  <Override PartName="/word/media/rId58.png" ContentType="image/png"/>
  <Override PartName="/word/media/rId66.png" ContentType="image/png"/>
  <Override PartName="/word/media/rId21.png" ContentType="image/png"/>
  <Override PartName="/word/media/rId25.png" ContentType="image/png"/>
  <Override PartName="/word/media/rId33.png" ContentType="image/png"/>
  <Override PartName="/word/media/rId29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работы комманд усовного и безусловного перехода в assembler.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папку и рабочий файл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5334000" cy="77888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01-5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Запишем в файл код, проассемблируем его, запустим(рис. 1)</w:t>
      </w:r>
    </w:p>
    <w:p>
      <w:pPr>
        <w:pStyle w:val="CaptionedFigure"/>
      </w:pPr>
      <w:bookmarkStart w:id="28" w:name="fig:002"/>
      <w:r>
        <w:drawing>
          <wp:inline>
            <wp:extent cx="5334000" cy="1054395"/>
            <wp:effectExtent b="0" l="0" r="0" t="0"/>
            <wp:docPr descr="Рис. 1: jmp работает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08-5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jmp работает</w:t>
      </w:r>
    </w:p>
    <w:p>
      <w:pPr>
        <w:pStyle w:val="BodyText"/>
      </w:pPr>
      <w:r>
        <w:t xml:space="preserve">изменим программу так, чтобы она выводила второе,затем первое сообщение и завершала работу. Её код (рис. 2) и работа (рис. 3)</w:t>
      </w:r>
    </w:p>
    <w:p>
      <w:pPr>
        <w:pStyle w:val="CaptionedFigure"/>
      </w:pPr>
      <w:bookmarkStart w:id="32" w:name="fig:003"/>
      <w:r>
        <w:drawing>
          <wp:inline>
            <wp:extent cx="5334000" cy="4872637"/>
            <wp:effectExtent b="0" l="0" r="0" t="0"/>
            <wp:docPr descr="Рис. 2: Код программы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15-5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Код программы</w:t>
      </w:r>
    </w:p>
    <w:p>
      <w:pPr>
        <w:pStyle w:val="CaptionedFigure"/>
      </w:pPr>
      <w:bookmarkStart w:id="36" w:name="fig:004"/>
      <w:r>
        <w:drawing>
          <wp:inline>
            <wp:extent cx="5334000" cy="995680"/>
            <wp:effectExtent b="0" l="0" r="0" t="0"/>
            <wp:docPr descr="Рис. 3: Её работа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14-39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Её работа</w:t>
      </w:r>
    </w:p>
    <w:p>
      <w:pPr>
        <w:pStyle w:val="BodyText"/>
      </w:pPr>
      <w:r>
        <w:t xml:space="preserve">Еще напишем программу, выводящую сообщения в обратном порядке(рис. 4 и рис. 5)</w:t>
      </w:r>
    </w:p>
    <w:p>
      <w:pPr>
        <w:pStyle w:val="CaptionedFigure"/>
      </w:pPr>
      <w:bookmarkStart w:id="40" w:name="fig:005"/>
      <w:r>
        <w:drawing>
          <wp:inline>
            <wp:extent cx="5334000" cy="4437713"/>
            <wp:effectExtent b="0" l="0" r="0" t="0"/>
            <wp:docPr descr="Рис. 4: Код программы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17-1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Код программы</w:t>
      </w:r>
    </w:p>
    <w:p>
      <w:pPr>
        <w:pStyle w:val="CaptionedFigure"/>
      </w:pPr>
      <w:bookmarkStart w:id="44" w:name="fig:006"/>
      <w:r>
        <w:drawing>
          <wp:inline>
            <wp:extent cx="5334000" cy="1174022"/>
            <wp:effectExtent b="0" l="0" r="0" t="0"/>
            <wp:docPr descr="Рис. 5: Её работа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19-20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Её работа</w:t>
      </w:r>
    </w:p>
    <w:p>
      <w:pPr>
        <w:pStyle w:val="BodyText"/>
      </w:pPr>
      <w:r>
        <w:t xml:space="preserve">Напишем программу с условным переходом(рис. 6)</w:t>
      </w:r>
    </w:p>
    <w:p>
      <w:pPr>
        <w:pStyle w:val="CaptionedFigure"/>
      </w:pPr>
      <w:bookmarkStart w:id="48" w:name="fig:007"/>
      <w:r>
        <w:drawing>
          <wp:inline>
            <wp:extent cx="5334000" cy="1190000"/>
            <wp:effectExtent b="0" l="0" r="0" t="0"/>
            <wp:docPr descr="Рис. 6: Работа программы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36-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Работа программы</w:t>
      </w:r>
    </w:p>
    <w:p>
      <w:pPr>
        <w:pStyle w:val="BodyText"/>
      </w:pPr>
      <w:r>
        <w:t xml:space="preserve">Рассмотрим файл листинга одной из программ(рис.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2" w:name="fig:008"/>
      <w:r>
        <w:drawing>
          <wp:inline>
            <wp:extent cx="5334000" cy="3870894"/>
            <wp:effectExtent b="0" l="0" r="0" t="0"/>
            <wp:docPr descr="Часть файла листинга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39-1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BodyText"/>
      </w:pPr>
      <w:r>
        <w:t xml:space="preserve">в строке 9 содержится собственно номер сторки [9], адресс [00000003], машинный код [803800] и содержимое строки кода [cmp byte [eax], 0]</w:t>
      </w:r>
      <w:r>
        <w:t xml:space="preserve"> </w:t>
      </w:r>
      <w:r>
        <w:t xml:space="preserve">в строке 11 содержится номер сторки [11], адресс [00000008], машинный код [40] и содержимое строки кода [inc eax]</w:t>
      </w:r>
      <w:r>
        <w:t xml:space="preserve"> </w:t>
      </w:r>
      <w:r>
        <w:t xml:space="preserve">в строке 24 содержится номер сторки [24], адресс [0000000F], машинный код [52] и содержимое строки кода [push edx]</w:t>
      </w:r>
    </w:p>
    <w:p>
      <w:pPr>
        <w:pStyle w:val="BodyText"/>
      </w:pPr>
      <w:r>
        <w:t xml:space="preserve">Если в коде появляется ошибка, то ее описание появится в файле листинга(рис. 7)</w:t>
      </w:r>
    </w:p>
    <w:p>
      <w:pPr>
        <w:pStyle w:val="CaptionedFigure"/>
      </w:pPr>
      <w:bookmarkStart w:id="56" w:name="fig:009"/>
      <w:r>
        <w:drawing>
          <wp:inline>
            <wp:extent cx="5334000" cy="2682451"/>
            <wp:effectExtent b="0" l="0" r="0" t="0"/>
            <wp:docPr descr="Рис. 7: ошибка в файле листинга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_2022-12-01_11-47-2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ошибка в файле листинга</w:t>
      </w:r>
    </w:p>
    <w:bookmarkEnd w:id="57"/>
    <w:bookmarkStart w:id="74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(Вар 17)</w:t>
      </w:r>
    </w:p>
    <w:p>
      <w:pPr>
        <w:pStyle w:val="BodyText"/>
      </w:pPr>
      <w:r>
        <w:t xml:space="preserve">программа для сравнения трех заранее известных чисел(рис.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 и ее работа(рис.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</w:p>
    <w:p>
      <w:pPr>
        <w:pStyle w:val="BodyText"/>
      </w:pPr>
      <w:bookmarkStart w:id="61" w:name="fig:010"/>
      <w:r>
        <w:drawing>
          <wp:inline>
            <wp:extent cx="5334000" cy="6782649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3-55-3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bookmarkStart w:id="65" w:name="fig:011"/>
      <w:r>
        <w:drawing>
          <wp:inline>
            <wp:extent cx="5334000" cy="82506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6-03-3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Программа для вычисления выражения в зависимости от условия на одну из вводимых переменных(рис.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 и ее работа(рис.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</w:p>
    <w:p>
      <w:pPr>
        <w:pStyle w:val="BodyText"/>
      </w:pPr>
      <w:bookmarkStart w:id="69" w:name="fig:012"/>
      <w:r>
        <w:drawing>
          <wp:inline>
            <wp:extent cx="5334000" cy="6782649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3%2013-56-0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8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bookmarkStart w:id="73" w:name="fig:013"/>
      <w:r>
        <w:drawing>
          <wp:inline>
            <wp:extent cx="5334000" cy="1639606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01%2017-03-0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основные принципы работы с условным и безусловным переходом в assembler и изучены основы чтения файлов листинга.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70" Target="media/rId70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Борунов Семён Сергеевич</dc:creator>
  <dc:language>ru-RU</dc:language>
  <cp:keywords/>
  <dcterms:created xsi:type="dcterms:W3CDTF">2022-12-03T11:06:40Z</dcterms:created>
  <dcterms:modified xsi:type="dcterms:W3CDTF">2022-12-03T11:06:40Z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